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</w:t>
      </w:r>
      <w:r>
        <w:rPr>
          <w:rFonts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XJ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202105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017 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24"/>
        <w:gridCol w:w="2161"/>
        <w:gridCol w:w="1917"/>
        <w:gridCol w:w="776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1年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378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378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524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21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15861664438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509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780"/>
              </w:tabs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/>
                <w:sz w:val="24"/>
              </w:rPr>
              <w:t>校园无线广播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系统</w:t>
            </w:r>
            <w:r>
              <w:rPr>
                <w:rFonts w:hint="eastAsia"/>
                <w:b/>
                <w:color w:val="000000"/>
                <w:sz w:val="24"/>
              </w:rPr>
              <w:t>（教务处）</w:t>
            </w:r>
          </w:p>
        </w:tc>
        <w:tc>
          <w:tcPr>
            <w:tcW w:w="5602" w:type="dxa"/>
            <w:gridSpan w:val="3"/>
            <w:vAlign w:val="center"/>
          </w:tcPr>
          <w:p>
            <w:pPr>
              <w:tabs>
                <w:tab w:val="left" w:pos="780"/>
              </w:tabs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要求详见附件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</w:trPr>
        <w:tc>
          <w:tcPr>
            <w:tcW w:w="1545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378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1、报价应包含</w:t>
            </w:r>
            <w:r>
              <w:rPr>
                <w:rFonts w:hint="eastAsia"/>
                <w:color w:val="FF0000"/>
                <w:szCs w:val="21"/>
              </w:rPr>
              <w:t>硬件设备</w:t>
            </w:r>
            <w:r>
              <w:rPr>
                <w:rFonts w:hint="eastAsia"/>
                <w:color w:val="FF0000"/>
                <w:szCs w:val="21"/>
                <w:lang w:eastAsia="zh-CN"/>
              </w:rPr>
              <w:t>、软件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运输、保险、安装、调试、税费等所有费用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（完工期）：</w:t>
            </w:r>
            <w:r>
              <w:rPr>
                <w:rFonts w:hint="eastAsia" w:ascii="宋体" w:hAnsi="宋体"/>
                <w:color w:val="FF0000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个日历天，自合同签订之日计起；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</w:t>
            </w:r>
            <w:r>
              <w:rPr>
                <w:rFonts w:hint="eastAsia"/>
                <w:color w:val="FF0000"/>
                <w:szCs w:val="21"/>
              </w:rPr>
              <w:t>质保期应不少于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方式：需方在货物验收合格后的7个工作日内，将货款全额划入供方帐户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陈建慧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，电话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13812529276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，地址：无锡市高浪西路1600号无锡职业技术学院教务处（综合楼90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室）。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7、本项目最高限价为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.88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万元，超过最高限价视报价无效；</w:t>
            </w:r>
          </w:p>
          <w:p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8、报价文件请授权代表签字并加盖单位公章后于</w:t>
            </w:r>
            <w:r>
              <w:rPr>
                <w:rFonts w:hint="eastAsia"/>
                <w:color w:val="FF0000"/>
                <w:szCs w:val="21"/>
              </w:rPr>
              <w:t>2021年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FF0000"/>
                <w:szCs w:val="21"/>
              </w:rPr>
              <w:t>日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00前寄送至无锡职业技术学院资产管理处</w:t>
            </w:r>
            <w:r>
              <w:rPr>
                <w:rFonts w:hint="eastAsia"/>
                <w:szCs w:val="21"/>
              </w:rPr>
              <w:t>综合楼9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  <w:lang w:val="en-US" w:eastAsia="zh-CN"/>
              </w:rPr>
              <w:t>顺丰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顺丰寄出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eastAsia="宋体"/>
                <w:color w:val="C00000"/>
                <w:lang w:eastAsia="zh-CN"/>
              </w:rPr>
            </w:pPr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eastAsia"/>
                <w:color w:val="FF0000"/>
                <w:lang w:eastAsia="zh-CN"/>
              </w:rPr>
              <w:t>）质检总局颁发的工业产品生产许可证书复印件；国家广电入网许可证书复印件；无线电管理委员会颁发的型号核准证书复印件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bookmarkStart w:id="0" w:name="_GoBack"/>
            <w:bookmarkEnd w:id="0"/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378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1年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：无锡市高浪西路1600号无锡职业技术学院综合楼919室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4"/>
        <w:jc w:val="both"/>
      </w:pPr>
    </w:p>
    <w:p>
      <w:pPr>
        <w:widowControl/>
        <w:jc w:val="left"/>
      </w:pPr>
      <w:r>
        <w:br w:type="page"/>
      </w:r>
    </w:p>
    <w:p/>
    <w:p>
      <w:pPr>
        <w:spacing w:line="0" w:lineRule="atLeas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附件2：无锡职业技术学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院校园无线广播</w:t>
      </w:r>
      <w:r>
        <w:rPr>
          <w:rFonts w:hint="eastAsia" w:ascii="黑体" w:hAnsi="黑体" w:eastAsia="黑体"/>
          <w:b/>
          <w:sz w:val="28"/>
          <w:szCs w:val="28"/>
        </w:rPr>
        <w:t>系统采购项目清单</w:t>
      </w:r>
    </w:p>
    <w:p>
      <w:pPr>
        <w:spacing w:line="0" w:lineRule="atLeas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设备</w:t>
      </w:r>
      <w:r>
        <w:rPr>
          <w:rFonts w:hint="eastAsia" w:ascii="黑体" w:hAnsi="黑体" w:eastAsia="黑体"/>
          <w:b/>
          <w:sz w:val="28"/>
          <w:szCs w:val="28"/>
        </w:rPr>
        <w:t>参数不低于下表要求）</w:t>
      </w:r>
    </w:p>
    <w:tbl>
      <w:tblPr>
        <w:tblStyle w:val="8"/>
        <w:tblW w:w="1414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06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 w:val="21"/>
                <w:szCs w:val="21"/>
                <w:lang w:eastAsia="zh-CN"/>
              </w:rPr>
              <w:t>无线发射设备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color w:val="0D0D0D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类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型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激励调制、功放、电源一体化设计，</w:t>
            </w:r>
            <w:r>
              <w:rPr>
                <w:szCs w:val="24"/>
              </w:rPr>
              <w:t>CPU</w:t>
            </w:r>
            <w:r>
              <w:rPr>
                <w:rFonts w:hint="eastAsia" w:ascii="宋体" w:hAnsi="宋体"/>
                <w:szCs w:val="24"/>
              </w:rPr>
              <w:t>数字控制，所有</w:t>
            </w:r>
            <w:r>
              <w:rPr>
                <w:rFonts w:hint="eastAsia" w:ascii="宋体" w:hAnsi="宋体"/>
                <w:szCs w:val="24"/>
                <w:lang w:eastAsia="zh-CN"/>
              </w:rPr>
              <w:t>技术</w:t>
            </w:r>
            <w:r>
              <w:rPr>
                <w:rFonts w:hint="eastAsia" w:ascii="宋体" w:hAnsi="宋体"/>
                <w:szCs w:val="24"/>
              </w:rPr>
              <w:t>参数都可通过前面板控制开关按键</w:t>
            </w:r>
            <w:r>
              <w:rPr>
                <w:rFonts w:hint="eastAsia" w:ascii="宋体" w:hAnsi="宋体"/>
                <w:szCs w:val="24"/>
                <w:lang w:eastAsia="zh-CN"/>
              </w:rPr>
              <w:t>或</w:t>
            </w:r>
            <w:r>
              <w:rPr>
                <w:rFonts w:hint="eastAsia" w:ascii="宋体" w:hAnsi="宋体"/>
                <w:szCs w:val="24"/>
              </w:rPr>
              <w:t>远程控制端口进行设定，包括：频率、功率、灵敏度、预加重、功能模式(单声道、立体声)、累计工作时间计数、定时开关机。密码管理确保了</w:t>
            </w:r>
            <w:r>
              <w:rPr>
                <w:rFonts w:hint="eastAsia" w:ascii="宋体" w:hAnsi="宋体" w:cs="宋体"/>
                <w:szCs w:val="24"/>
              </w:rPr>
              <w:t>调频机</w:t>
            </w:r>
            <w:r>
              <w:rPr>
                <w:rFonts w:hint="eastAsia" w:ascii="宋体" w:hAnsi="宋体"/>
                <w:szCs w:val="24"/>
              </w:rPr>
              <w:t>在不同工作条件下的不同的安全保密性要求</w:t>
            </w:r>
            <w:r>
              <w:rPr>
                <w:rFonts w:hint="eastAsia" w:ascii="宋体" w:hAnsi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Cs w:val="24"/>
              </w:rPr>
              <w:t>带RS-232接口</w:t>
            </w:r>
            <w:r>
              <w:rPr>
                <w:rFonts w:hint="eastAsia" w:ascii="宋体" w:hAnsi="宋体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D0D0D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频率范围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</w:rPr>
              <w:t>108MHz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RF输出功率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300W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线性可调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最大允许反射功率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10W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RF谐波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&lt;-60dBc, 典型值为-70dBc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RF残波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&lt;-80dBc, 典型值为-95dBc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RF输出阻抗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50 ohm，N型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音频/MPX输入电平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</w:pPr>
            <w:r>
              <w:rPr>
                <w:rFonts w:hint="eastAsia" w:ascii="宋体" w:hAnsi="宋体"/>
                <w:sz w:val="21"/>
                <w:szCs w:val="21"/>
              </w:rPr>
              <w:t>-3.5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+12.5dBm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@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/>
                <w:sz w:val="21"/>
                <w:szCs w:val="21"/>
              </w:rPr>
              <w:t>75kHz 偏移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音频/MPX输入阻抗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10k ohm/600 ohm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平衡/非平衡，可选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辅助信号输入电平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-12.5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+3.5dBm @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/>
                <w:sz w:val="21"/>
                <w:szCs w:val="21"/>
              </w:rPr>
              <w:t>7.5kHz dev.  -24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-8dBm @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/>
                <w:sz w:val="21"/>
                <w:szCs w:val="21"/>
              </w:rPr>
              <w:t>2kHz dev.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辅助信号输入阻抗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 k ohm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信噪比(立体声)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&gt;=72dB 典型值77dB(30-20000Hz)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CCIR标准： &gt;=68dB 典型值72dB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调制度失真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&lt;0.05% 典型值0.02%, @75kHz偏移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&lt;0.2% 典型值&lt;=0.05% @150kHz偏移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(限位器门限值&gt;150kHz)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主电源要求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220VAC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/>
                <w:sz w:val="21"/>
                <w:szCs w:val="21"/>
              </w:rPr>
              <w:t>20% 50/60Hz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外形尺寸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130mm*485mm*500mm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国家主管要求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厂家应具备质检总局颁发的工业产品生产许可证书；设备应具有国家广电入网许可证书；设备应具有无线电管理委员会颁发的型号核准证书；设备应满足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GY/T169-2001《米波调频广播发射机技术要求和测量方法》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垂直极化发射天线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类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型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天线体采用</w:t>
            </w:r>
            <w:r>
              <w:rPr>
                <w:rFonts w:hint="eastAsia"/>
                <w:sz w:val="21"/>
                <w:szCs w:val="21"/>
              </w:rPr>
              <w:t>耐腐蚀、</w:t>
            </w:r>
            <w:r>
              <w:rPr>
                <w:sz w:val="21"/>
                <w:szCs w:val="21"/>
              </w:rPr>
              <w:t>防盐雾</w:t>
            </w:r>
            <w:r>
              <w:rPr>
                <w:rFonts w:hint="eastAsia"/>
                <w:sz w:val="21"/>
                <w:szCs w:val="21"/>
              </w:rPr>
              <w:t>、防水、防寒，抗风性能好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材料，宜安装、高增益垂直极化电磁波辐射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频率范围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</w:rPr>
              <w:t>108MHz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增益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dB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垂直面波瓣宽度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17°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电压驻波比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≤1.</w:t>
            </w:r>
            <w:r>
              <w:rPr>
                <w:rFonts w:hint="eastAsia"/>
                <w:sz w:val="21"/>
                <w:szCs w:val="21"/>
              </w:rPr>
              <w:t>05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标称阻抗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50Ω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50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最大功率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00W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发射同轴电缆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采用国标50-15同轴电缆，馈线按实际所需安装标准接口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项目服务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免费送货至学校指定位置并安装到位，须提供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全部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安装调试服务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；供应商应要充分考虑到施工的困难和校区全覆盖的特殊性，若因前期准备工作不充分在施工阶段给用户带来损失和延期交货的，用户有权终止合同并提出赔偿；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质保与售后服务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提供原厂商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年免费质保及上门服务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；无论质保期内还是质保期外，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设备出现质量问题厂家无理由需在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1个小时内指派技术上门处理.，全年7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24小时服务；设备厂家应在每年的每个季度技术上门做设备保养与维护；</w:t>
            </w:r>
          </w:p>
          <w:p>
            <w:pPr>
              <w:widowControl/>
              <w:snapToGrid w:val="0"/>
              <w:spacing w:line="240" w:lineRule="exact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项目工期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063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合同签订之日起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2个工作日完成</w:t>
            </w:r>
          </w:p>
        </w:tc>
      </w:tr>
    </w:tbl>
    <w:p>
      <w:pPr>
        <w:spacing w:line="0" w:lineRule="atLeast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pStyle w:val="2"/>
        <w:rPr>
          <w:rFonts w:hint="eastAsia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0636A"/>
    <w:rsid w:val="00051595"/>
    <w:rsid w:val="00052A2D"/>
    <w:rsid w:val="000541D0"/>
    <w:rsid w:val="00103E72"/>
    <w:rsid w:val="00106531"/>
    <w:rsid w:val="0013120D"/>
    <w:rsid w:val="00160C5C"/>
    <w:rsid w:val="001C37CB"/>
    <w:rsid w:val="00236015"/>
    <w:rsid w:val="00255D23"/>
    <w:rsid w:val="0028736D"/>
    <w:rsid w:val="0029538B"/>
    <w:rsid w:val="00296989"/>
    <w:rsid w:val="002C7AE3"/>
    <w:rsid w:val="002E2B16"/>
    <w:rsid w:val="002E5AB5"/>
    <w:rsid w:val="00366D9C"/>
    <w:rsid w:val="00367B86"/>
    <w:rsid w:val="003805D3"/>
    <w:rsid w:val="003C6432"/>
    <w:rsid w:val="003D5465"/>
    <w:rsid w:val="003D581B"/>
    <w:rsid w:val="003F0E1E"/>
    <w:rsid w:val="00415C06"/>
    <w:rsid w:val="0041611C"/>
    <w:rsid w:val="004221AF"/>
    <w:rsid w:val="0042254F"/>
    <w:rsid w:val="004350A2"/>
    <w:rsid w:val="004436D8"/>
    <w:rsid w:val="004521C2"/>
    <w:rsid w:val="00455619"/>
    <w:rsid w:val="004D194A"/>
    <w:rsid w:val="004E4DD9"/>
    <w:rsid w:val="005201B2"/>
    <w:rsid w:val="00566CE1"/>
    <w:rsid w:val="00570C4D"/>
    <w:rsid w:val="00580BE3"/>
    <w:rsid w:val="005971D8"/>
    <w:rsid w:val="005A53C3"/>
    <w:rsid w:val="00615BEF"/>
    <w:rsid w:val="00625FF5"/>
    <w:rsid w:val="00652A44"/>
    <w:rsid w:val="006C4830"/>
    <w:rsid w:val="006C4E6E"/>
    <w:rsid w:val="00705D19"/>
    <w:rsid w:val="00712F2B"/>
    <w:rsid w:val="0072498A"/>
    <w:rsid w:val="00730415"/>
    <w:rsid w:val="0075797D"/>
    <w:rsid w:val="00764763"/>
    <w:rsid w:val="00777BCF"/>
    <w:rsid w:val="0078101E"/>
    <w:rsid w:val="00784DD8"/>
    <w:rsid w:val="00791590"/>
    <w:rsid w:val="007A5B0B"/>
    <w:rsid w:val="007B22C7"/>
    <w:rsid w:val="007E346A"/>
    <w:rsid w:val="007F415C"/>
    <w:rsid w:val="00816ECC"/>
    <w:rsid w:val="008245D6"/>
    <w:rsid w:val="0089385F"/>
    <w:rsid w:val="008A027A"/>
    <w:rsid w:val="008A3AEC"/>
    <w:rsid w:val="008A6D18"/>
    <w:rsid w:val="009046F6"/>
    <w:rsid w:val="00937023"/>
    <w:rsid w:val="00966AA0"/>
    <w:rsid w:val="009B0B44"/>
    <w:rsid w:val="009F096D"/>
    <w:rsid w:val="00A40B4C"/>
    <w:rsid w:val="00A62995"/>
    <w:rsid w:val="00A74D60"/>
    <w:rsid w:val="00A7536C"/>
    <w:rsid w:val="00A85BB5"/>
    <w:rsid w:val="00AA1CD9"/>
    <w:rsid w:val="00AA7C52"/>
    <w:rsid w:val="00AC64D3"/>
    <w:rsid w:val="00AE0218"/>
    <w:rsid w:val="00AF5A81"/>
    <w:rsid w:val="00B37042"/>
    <w:rsid w:val="00B672E5"/>
    <w:rsid w:val="00BB2CC4"/>
    <w:rsid w:val="00BB4333"/>
    <w:rsid w:val="00BD500C"/>
    <w:rsid w:val="00C0403C"/>
    <w:rsid w:val="00C266B0"/>
    <w:rsid w:val="00C40B45"/>
    <w:rsid w:val="00C91992"/>
    <w:rsid w:val="00CA4131"/>
    <w:rsid w:val="00CB17C4"/>
    <w:rsid w:val="00D011BB"/>
    <w:rsid w:val="00D03CA2"/>
    <w:rsid w:val="00D247C6"/>
    <w:rsid w:val="00DB42E3"/>
    <w:rsid w:val="00DB676B"/>
    <w:rsid w:val="00DD0354"/>
    <w:rsid w:val="00E55A7A"/>
    <w:rsid w:val="00E75783"/>
    <w:rsid w:val="00E76C92"/>
    <w:rsid w:val="00EB0566"/>
    <w:rsid w:val="00EC7A50"/>
    <w:rsid w:val="00ED4790"/>
    <w:rsid w:val="00EE0A62"/>
    <w:rsid w:val="00EF010B"/>
    <w:rsid w:val="00F04213"/>
    <w:rsid w:val="00F30092"/>
    <w:rsid w:val="00F4413A"/>
    <w:rsid w:val="00FE6B70"/>
    <w:rsid w:val="04721101"/>
    <w:rsid w:val="084A1A95"/>
    <w:rsid w:val="0C166AFD"/>
    <w:rsid w:val="0D1234CC"/>
    <w:rsid w:val="0DA42347"/>
    <w:rsid w:val="0FBF65F9"/>
    <w:rsid w:val="11B14F05"/>
    <w:rsid w:val="145C4FE3"/>
    <w:rsid w:val="14953BE6"/>
    <w:rsid w:val="18505401"/>
    <w:rsid w:val="186026A8"/>
    <w:rsid w:val="199C637C"/>
    <w:rsid w:val="1C537CEF"/>
    <w:rsid w:val="1CB25D62"/>
    <w:rsid w:val="1DE15EA2"/>
    <w:rsid w:val="201104DA"/>
    <w:rsid w:val="25A04B46"/>
    <w:rsid w:val="2CCD62B5"/>
    <w:rsid w:val="2E65560C"/>
    <w:rsid w:val="2F7A788B"/>
    <w:rsid w:val="305030B9"/>
    <w:rsid w:val="327309AD"/>
    <w:rsid w:val="35EB7CDE"/>
    <w:rsid w:val="3649776E"/>
    <w:rsid w:val="3939500F"/>
    <w:rsid w:val="3B395C09"/>
    <w:rsid w:val="3CC01F5D"/>
    <w:rsid w:val="3DA90D46"/>
    <w:rsid w:val="3FAE7E03"/>
    <w:rsid w:val="406516B3"/>
    <w:rsid w:val="42367DA5"/>
    <w:rsid w:val="4268588E"/>
    <w:rsid w:val="42A75502"/>
    <w:rsid w:val="453E44AC"/>
    <w:rsid w:val="45830D0E"/>
    <w:rsid w:val="461C0BB4"/>
    <w:rsid w:val="4624477E"/>
    <w:rsid w:val="48B7295B"/>
    <w:rsid w:val="4CD452CF"/>
    <w:rsid w:val="4DB8283C"/>
    <w:rsid w:val="513439D2"/>
    <w:rsid w:val="518812DB"/>
    <w:rsid w:val="520C5148"/>
    <w:rsid w:val="54E737B3"/>
    <w:rsid w:val="56B72407"/>
    <w:rsid w:val="570117F7"/>
    <w:rsid w:val="57D82E00"/>
    <w:rsid w:val="581E7394"/>
    <w:rsid w:val="58F40071"/>
    <w:rsid w:val="59845403"/>
    <w:rsid w:val="59AB2008"/>
    <w:rsid w:val="5A393908"/>
    <w:rsid w:val="5B60545F"/>
    <w:rsid w:val="5D7C30DE"/>
    <w:rsid w:val="5DA42AC1"/>
    <w:rsid w:val="5EDD1ADD"/>
    <w:rsid w:val="5F135A16"/>
    <w:rsid w:val="612C626E"/>
    <w:rsid w:val="61D4500E"/>
    <w:rsid w:val="642D7194"/>
    <w:rsid w:val="65E735CB"/>
    <w:rsid w:val="68D81AAF"/>
    <w:rsid w:val="6CF92646"/>
    <w:rsid w:val="719A562B"/>
    <w:rsid w:val="744A1C88"/>
    <w:rsid w:val="74E62D34"/>
    <w:rsid w:val="77434EF4"/>
    <w:rsid w:val="77FF0BC6"/>
    <w:rsid w:val="79446BF7"/>
    <w:rsid w:val="7BB6398D"/>
    <w:rsid w:val="7DE012F1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Helvetica" w:hAnsi="Calibri" w:eastAsia="Helvetica" w:cs="Helvetica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408</Words>
  <Characters>2326</Characters>
  <Lines>19</Lines>
  <Paragraphs>5</Paragraphs>
  <TotalTime>9</TotalTime>
  <ScaleCrop>false</ScaleCrop>
  <LinksUpToDate>false</LinksUpToDate>
  <CharactersWithSpaces>2729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2021-03-30T06:02:00Z</dcterms:created>
  <dc:creator>huang</dc:creator>
  <cp:lastModifiedBy>张小宇/hello</cp:lastModifiedBy>
  <cp:lastPrinted>2021-05-07T07:56:00Z</cp:lastPrinted>
  <dcterms:modified xsi:type="dcterms:W3CDTF">2021-05-10T00:57:12Z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0710C767C63D4FEC82CA3343E004ED97</vt:lpwstr>
  </property>
</Properties>
</file>