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color w:val="000000"/>
          <w:sz w:val="36"/>
          <w:szCs w:val="36"/>
        </w:rPr>
      </w:pPr>
      <w:bookmarkStart w:id="0" w:name="_GoBack"/>
      <w:bookmarkEnd w:id="0"/>
      <w:r>
        <w:rPr>
          <w:rFonts w:ascii="仿宋_GB2312" w:eastAsia="仿宋_GB2312"/>
          <w:b/>
          <w:bCs/>
          <w:color w:val="000000"/>
          <w:sz w:val="36"/>
          <w:szCs w:val="36"/>
        </w:rPr>
        <w:t>无锡职业技术学院设备询价</w:t>
      </w:r>
      <w:r>
        <w:rPr>
          <w:rFonts w:ascii="仿宋_GB2312" w:eastAsia="仿宋_GB2312"/>
          <w:b/>
          <w:bCs/>
          <w:color w:val="000000" w:themeColor="text1"/>
          <w:sz w:val="36"/>
          <w:szCs w:val="36"/>
          <w14:textFill>
            <w14:solidFill>
              <w14:schemeClr w14:val="tx1"/>
            </w14:solidFill>
          </w14:textFill>
        </w:rPr>
        <w:t>单</w:t>
      </w:r>
      <w:r>
        <w:rPr>
          <w:rFonts w:hint="eastAsia" w:ascii="仿宋_GB2312" w:eastAsia="仿宋_GB2312"/>
          <w:b/>
          <w:bCs/>
          <w:color w:val="000000" w:themeColor="text1"/>
          <w:sz w:val="36"/>
          <w:szCs w:val="36"/>
          <w14:textFill>
            <w14:solidFill>
              <w14:schemeClr w14:val="tx1"/>
            </w14:solidFill>
          </w14:textFill>
        </w:rPr>
        <w:t>（</w:t>
      </w:r>
      <w:r>
        <w:rPr>
          <w:rFonts w:ascii="仿宋_GB2312" w:eastAsia="仿宋_GB2312"/>
          <w:b/>
          <w:bCs/>
          <w:color w:val="000000" w:themeColor="text1"/>
          <w:sz w:val="36"/>
          <w:szCs w:val="36"/>
          <w14:textFill>
            <w14:solidFill>
              <w14:schemeClr w14:val="tx1"/>
            </w14:solidFill>
          </w14:textFill>
        </w:rPr>
        <w:t>TXGXJ-202106-001</w:t>
      </w:r>
      <w:r>
        <w:rPr>
          <w:rFonts w:hint="eastAsia" w:ascii="仿宋_GB2312" w:eastAsia="仿宋_GB2312"/>
          <w:b/>
          <w:bCs/>
          <w:color w:val="000000" w:themeColor="text1"/>
          <w:sz w:val="36"/>
          <w:szCs w:val="36"/>
          <w14:textFill>
            <w14:solidFill>
              <w14:schemeClr w14:val="tx1"/>
            </w14:solidFill>
          </w14:textFill>
        </w:rPr>
        <w:t xml:space="preserve"> ）</w:t>
      </w:r>
    </w:p>
    <w:tbl>
      <w:tblPr>
        <w:tblStyle w:val="8"/>
        <w:tblW w:w="1472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1524"/>
        <w:gridCol w:w="2161"/>
        <w:gridCol w:w="1917"/>
        <w:gridCol w:w="776"/>
        <w:gridCol w:w="2552"/>
        <w:gridCol w:w="567"/>
        <w:gridCol w:w="808"/>
        <w:gridCol w:w="888"/>
        <w:gridCol w:w="993"/>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923"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02</w:t>
            </w:r>
            <w:r>
              <w:rPr>
                <w:rFonts w:hint="eastAsia"/>
                <w:b/>
                <w:color w:val="000000"/>
                <w:sz w:val="24"/>
              </w:rPr>
              <w:t>1年6月2日</w:t>
            </w:r>
          </w:p>
        </w:tc>
        <w:tc>
          <w:tcPr>
            <w:tcW w:w="2552"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4252" w:type="dxa"/>
            <w:gridSpan w:val="5"/>
            <w:tcBorders>
              <w:top w:val="double" w:color="auto" w:sz="4" w:space="0"/>
              <w:bottom w:val="single" w:color="auto" w:sz="6" w:space="0"/>
            </w:tcBorders>
          </w:tcPr>
          <w:p>
            <w:pPr>
              <w:jc w:val="left"/>
              <w:rPr>
                <w:b/>
                <w:color w:val="000000"/>
                <w:sz w:val="24"/>
              </w:rPr>
            </w:pPr>
            <w:r>
              <w:rPr>
                <w:rFonts w:hint="eastAsia"/>
                <w:b/>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5" w:type="dxa"/>
            <w:vAlign w:val="center"/>
          </w:tcPr>
          <w:p>
            <w:pPr>
              <w:rPr>
                <w:b/>
                <w:color w:val="000000"/>
                <w:sz w:val="24"/>
              </w:rPr>
            </w:pPr>
            <w:r>
              <w:rPr>
                <w:rFonts w:hint="eastAsia"/>
                <w:b/>
                <w:color w:val="000000"/>
                <w:sz w:val="24"/>
              </w:rPr>
              <w:t>采购人全称</w:t>
            </w:r>
          </w:p>
        </w:tc>
        <w:tc>
          <w:tcPr>
            <w:tcW w:w="6378"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5" w:type="dxa"/>
            <w:vAlign w:val="center"/>
          </w:tcPr>
          <w:p>
            <w:pPr>
              <w:rPr>
                <w:b/>
                <w:color w:val="000000"/>
                <w:sz w:val="24"/>
              </w:rPr>
            </w:pPr>
            <w:r>
              <w:rPr>
                <w:rFonts w:hint="eastAsia"/>
                <w:b/>
                <w:color w:val="000000"/>
                <w:sz w:val="24"/>
              </w:rPr>
              <w:t>采购人详细地址</w:t>
            </w:r>
          </w:p>
        </w:tc>
        <w:tc>
          <w:tcPr>
            <w:tcW w:w="6378"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545" w:type="dxa"/>
            <w:vAlign w:val="center"/>
          </w:tcPr>
          <w:p>
            <w:pPr>
              <w:spacing w:line="500" w:lineRule="auto"/>
              <w:jc w:val="center"/>
              <w:rPr>
                <w:b/>
                <w:color w:val="000000"/>
                <w:sz w:val="24"/>
              </w:rPr>
            </w:pPr>
            <w:r>
              <w:rPr>
                <w:rFonts w:hint="eastAsia"/>
                <w:b/>
                <w:color w:val="000000"/>
                <w:sz w:val="24"/>
              </w:rPr>
              <w:t>经办人</w:t>
            </w:r>
          </w:p>
        </w:tc>
        <w:tc>
          <w:tcPr>
            <w:tcW w:w="1524" w:type="dxa"/>
            <w:vAlign w:val="center"/>
          </w:tcPr>
          <w:p>
            <w:pPr>
              <w:rPr>
                <w:b/>
                <w:color w:val="000000"/>
                <w:sz w:val="24"/>
              </w:rPr>
            </w:pPr>
            <w:r>
              <w:rPr>
                <w:rFonts w:hint="eastAsia"/>
                <w:b/>
                <w:color w:val="000000"/>
                <w:sz w:val="24"/>
              </w:rPr>
              <w:t>杨勇</w:t>
            </w:r>
          </w:p>
        </w:tc>
        <w:tc>
          <w:tcPr>
            <w:tcW w:w="2161" w:type="dxa"/>
            <w:vAlign w:val="center"/>
          </w:tcPr>
          <w:p>
            <w:pPr>
              <w:rPr>
                <w:b/>
                <w:color w:val="000000"/>
                <w:sz w:val="24"/>
              </w:rPr>
            </w:pPr>
            <w:r>
              <w:rPr>
                <w:rFonts w:hint="eastAsia"/>
                <w:b/>
                <w:color w:val="000000"/>
                <w:sz w:val="24"/>
              </w:rPr>
              <w:t>联系电话</w:t>
            </w:r>
          </w:p>
        </w:tc>
        <w:tc>
          <w:tcPr>
            <w:tcW w:w="2693" w:type="dxa"/>
            <w:gridSpan w:val="2"/>
            <w:tcBorders>
              <w:right w:val="dotDotDash" w:color="auto" w:sz="18" w:space="0"/>
            </w:tcBorders>
            <w:vAlign w:val="center"/>
          </w:tcPr>
          <w:p>
            <w:pPr>
              <w:rPr>
                <w:b/>
                <w:color w:val="000000"/>
                <w:sz w:val="24"/>
              </w:rPr>
            </w:pPr>
            <w:r>
              <w:rPr>
                <w:rFonts w:hint="eastAsia"/>
                <w:b/>
                <w:color w:val="000000"/>
                <w:sz w:val="24"/>
              </w:rPr>
              <w:t>1</w:t>
            </w:r>
            <w:r>
              <w:rPr>
                <w:b/>
                <w:color w:val="000000"/>
                <w:sz w:val="24"/>
              </w:rPr>
              <w:t>3771503621</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45" w:type="dxa"/>
            <w:vAlign w:val="center"/>
          </w:tcPr>
          <w:p>
            <w:pPr>
              <w:spacing w:line="500" w:lineRule="auto"/>
              <w:jc w:val="center"/>
              <w:rPr>
                <w:b/>
                <w:color w:val="000000"/>
                <w:sz w:val="24"/>
              </w:rPr>
            </w:pPr>
            <w:r>
              <w:rPr>
                <w:rFonts w:hint="eastAsia"/>
                <w:b/>
                <w:color w:val="000000"/>
                <w:sz w:val="24"/>
              </w:rPr>
              <w:t>设备名称</w:t>
            </w:r>
          </w:p>
        </w:tc>
        <w:tc>
          <w:tcPr>
            <w:tcW w:w="5602" w:type="dxa"/>
            <w:gridSpan w:val="3"/>
            <w:vAlign w:val="center"/>
          </w:tcPr>
          <w:p>
            <w:pPr>
              <w:jc w:val="center"/>
              <w:rPr>
                <w:b/>
                <w:color w:val="000000"/>
                <w:sz w:val="24"/>
              </w:rPr>
            </w:pPr>
            <w:r>
              <w:rPr>
                <w:rFonts w:hint="eastAsia"/>
                <w:b/>
                <w:color w:val="000000"/>
                <w:sz w:val="24"/>
              </w:rPr>
              <w:t>规格、型号及主要性能</w:t>
            </w:r>
          </w:p>
        </w:tc>
        <w:tc>
          <w:tcPr>
            <w:tcW w:w="776" w:type="dxa"/>
            <w:tcBorders>
              <w:right w:val="dotDotDash" w:color="auto" w:sz="18" w:space="0"/>
            </w:tcBorders>
            <w:vAlign w:val="center"/>
          </w:tcPr>
          <w:p>
            <w:pPr>
              <w:jc w:val="center"/>
              <w:rPr>
                <w:b/>
                <w:color w:val="000000"/>
                <w:sz w:val="24"/>
              </w:rPr>
            </w:pPr>
            <w:r>
              <w:rPr>
                <w:rFonts w:hint="eastAsia"/>
                <w:b/>
                <w:color w:val="000000"/>
                <w:sz w:val="24"/>
              </w:rPr>
              <w:t>数量</w:t>
            </w:r>
          </w:p>
        </w:tc>
        <w:tc>
          <w:tcPr>
            <w:tcW w:w="3119" w:type="dxa"/>
            <w:gridSpan w:val="2"/>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响应规格、型号及主要性能</w:t>
            </w:r>
          </w:p>
        </w:tc>
        <w:tc>
          <w:tcPr>
            <w:tcW w:w="80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单价</w:t>
            </w:r>
          </w:p>
        </w:tc>
        <w:tc>
          <w:tcPr>
            <w:tcW w:w="88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总价</w:t>
            </w:r>
          </w:p>
        </w:tc>
        <w:tc>
          <w:tcPr>
            <w:tcW w:w="993" w:type="dxa"/>
            <w:tcBorders>
              <w:top w:val="single" w:color="auto" w:sz="6" w:space="0"/>
              <w:bottom w:val="single" w:color="auto" w:sz="6" w:space="0"/>
            </w:tcBorders>
            <w:vAlign w:val="center"/>
          </w:tcPr>
          <w:p>
            <w:pPr>
              <w:jc w:val="center"/>
              <w:rPr>
                <w:b/>
                <w:color w:val="000000"/>
                <w:sz w:val="24"/>
              </w:rPr>
            </w:pPr>
            <w:r>
              <w:rPr>
                <w:rFonts w:hint="eastAsia"/>
                <w:b/>
                <w:color w:val="000000"/>
                <w:sz w:val="24"/>
              </w:rPr>
              <w:t>质保期</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trPr>
        <w:tc>
          <w:tcPr>
            <w:tcW w:w="1545" w:type="dxa"/>
            <w:vAlign w:val="center"/>
          </w:tcPr>
          <w:p>
            <w:pPr>
              <w:tabs>
                <w:tab w:val="left" w:pos="780"/>
              </w:tabs>
              <w:snapToGrid w:val="0"/>
              <w:jc w:val="center"/>
              <w:rPr>
                <w:color w:val="000000" w:themeColor="text1"/>
                <w14:textFill>
                  <w14:solidFill>
                    <w14:schemeClr w14:val="tx1"/>
                  </w14:solidFill>
                </w14:textFill>
              </w:rPr>
            </w:pPr>
            <w:r>
              <w:rPr>
                <w:rFonts w:hint="eastAsia"/>
                <w:b/>
                <w:color w:val="000000"/>
                <w:sz w:val="24"/>
              </w:rPr>
              <w:t>电子资源远程访问                  （图书馆）</w:t>
            </w:r>
          </w:p>
        </w:tc>
        <w:tc>
          <w:tcPr>
            <w:tcW w:w="5602" w:type="dxa"/>
            <w:gridSpan w:val="3"/>
            <w:vAlign w:val="center"/>
          </w:tcPr>
          <w:p>
            <w:pPr>
              <w:tabs>
                <w:tab w:val="left" w:pos="780"/>
              </w:tabs>
              <w:snapToGrid w:val="0"/>
              <w:spacing w:before="100" w:beforeAutospacing="1" w:after="100" w:afterAutospacing="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要求详见附件</w:t>
            </w:r>
          </w:p>
        </w:tc>
        <w:tc>
          <w:tcPr>
            <w:tcW w:w="776" w:type="dxa"/>
            <w:tcBorders>
              <w:right w:val="dotDotDash" w:color="auto" w:sz="18"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c>
          <w:tcPr>
            <w:tcW w:w="3119" w:type="dxa"/>
            <w:gridSpan w:val="2"/>
            <w:tcBorders>
              <w:top w:val="single" w:color="auto" w:sz="6" w:space="0"/>
              <w:left w:val="dotDotDash" w:color="auto" w:sz="18" w:space="0"/>
            </w:tcBorders>
          </w:tcPr>
          <w:p>
            <w:pPr>
              <w:rPr>
                <w:color w:val="000000" w:themeColor="text1"/>
                <w14:textFill>
                  <w14:solidFill>
                    <w14:schemeClr w14:val="tx1"/>
                  </w14:solidFill>
                </w14:textFill>
              </w:rPr>
            </w:pPr>
          </w:p>
        </w:tc>
        <w:tc>
          <w:tcPr>
            <w:tcW w:w="808" w:type="dxa"/>
            <w:tcBorders>
              <w:top w:val="single" w:color="auto" w:sz="6" w:space="0"/>
            </w:tcBorders>
          </w:tcPr>
          <w:p>
            <w:pPr>
              <w:rPr>
                <w:color w:val="000000" w:themeColor="text1"/>
                <w14:textFill>
                  <w14:solidFill>
                    <w14:schemeClr w14:val="tx1"/>
                  </w14:solidFill>
                </w14:textFill>
              </w:rPr>
            </w:pPr>
          </w:p>
        </w:tc>
        <w:tc>
          <w:tcPr>
            <w:tcW w:w="888" w:type="dxa"/>
            <w:tcBorders>
              <w:top w:val="single" w:color="auto" w:sz="6" w:space="0"/>
            </w:tcBorders>
          </w:tcPr>
          <w:p>
            <w:pPr>
              <w:rPr>
                <w:color w:val="000000" w:themeColor="text1"/>
                <w14:textFill>
                  <w14:solidFill>
                    <w14:schemeClr w14:val="tx1"/>
                  </w14:solidFill>
                </w14:textFill>
              </w:rPr>
            </w:pPr>
          </w:p>
        </w:tc>
        <w:tc>
          <w:tcPr>
            <w:tcW w:w="993" w:type="dxa"/>
            <w:tcBorders>
              <w:top w:val="single" w:color="auto" w:sz="6" w:space="0"/>
            </w:tcBorders>
          </w:tcPr>
          <w:p>
            <w:pPr>
              <w:rPr>
                <w:color w:val="000000" w:themeColor="text1"/>
                <w14:textFill>
                  <w14:solidFill>
                    <w14:schemeClr w14:val="tx1"/>
                  </w14:solidFill>
                </w14:textFill>
              </w:rPr>
            </w:pPr>
          </w:p>
        </w:tc>
        <w:tc>
          <w:tcPr>
            <w:tcW w:w="996" w:type="dxa"/>
            <w:tcBorders>
              <w:top w:val="single" w:color="auto" w:sz="6" w:space="0"/>
            </w:tcBorders>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5" w:type="dxa"/>
            <w:vAlign w:val="center"/>
          </w:tcPr>
          <w:p>
            <w:pPr>
              <w:spacing w:line="500" w:lineRule="auto"/>
              <w:jc w:val="center"/>
              <w:rPr>
                <w:b/>
                <w:color w:val="000000"/>
                <w:sz w:val="24"/>
              </w:rPr>
            </w:pPr>
            <w:r>
              <w:rPr>
                <w:rFonts w:hint="eastAsia"/>
                <w:b/>
                <w:color w:val="000000"/>
                <w:sz w:val="24"/>
              </w:rPr>
              <w:t>备注</w:t>
            </w:r>
          </w:p>
        </w:tc>
        <w:tc>
          <w:tcPr>
            <w:tcW w:w="6378" w:type="dxa"/>
            <w:gridSpan w:val="4"/>
            <w:tcBorders>
              <w:right w:val="dotDotDash"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一</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供应商资格要求</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1、符合《政府采购法》第二十二条规定的供应商；</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、营业范围</w:t>
            </w:r>
            <w:r>
              <w:rPr>
                <w:color w:val="000000" w:themeColor="text1"/>
                <w:szCs w:val="21"/>
                <w14:textFill>
                  <w14:solidFill>
                    <w14:schemeClr w14:val="tx1"/>
                  </w14:solidFill>
                </w14:textFill>
              </w:rPr>
              <w:t>应包含本</w:t>
            </w:r>
            <w:r>
              <w:rPr>
                <w:rFonts w:hint="eastAsia"/>
                <w:color w:val="000000" w:themeColor="text1"/>
                <w:szCs w:val="21"/>
                <w14:textFill>
                  <w14:solidFill>
                    <w14:schemeClr w14:val="tx1"/>
                  </w14:solidFill>
                </w14:textFill>
              </w:rPr>
              <w:t>项目</w:t>
            </w:r>
            <w:r>
              <w:rPr>
                <w:color w:val="000000" w:themeColor="text1"/>
                <w:szCs w:val="21"/>
                <w14:textFill>
                  <w14:solidFill>
                    <w14:schemeClr w14:val="tx1"/>
                  </w14:solidFill>
                </w14:textFill>
              </w:rPr>
              <w:t>采购内容</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报价要求</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1、报价应包含</w:t>
            </w:r>
            <w:r>
              <w:rPr>
                <w:rFonts w:hint="eastAsia"/>
                <w:color w:val="FF0000"/>
                <w:szCs w:val="21"/>
              </w:rPr>
              <w:t>硬件设备、软件</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运输、保险、安装、调试、税费等所有费用</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、交</w:t>
            </w:r>
            <w:r>
              <w:rPr>
                <w:rFonts w:hint="eastAsia"/>
                <w:color w:val="000000" w:themeColor="text1"/>
                <w:szCs w:val="21"/>
                <w14:textFill>
                  <w14:solidFill>
                    <w14:schemeClr w14:val="tx1"/>
                  </w14:solidFill>
                </w14:textFill>
              </w:rPr>
              <w:t>货地点：无锡职业技术学院内指定地点；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、供货期</w:t>
            </w:r>
            <w:r>
              <w:rPr>
                <w:rFonts w:hint="eastAsia"/>
                <w:color w:val="000000" w:themeColor="text1"/>
                <w:szCs w:val="21"/>
                <w14:textFill>
                  <w14:solidFill>
                    <w14:schemeClr w14:val="tx1"/>
                  </w14:solidFill>
                </w14:textFill>
              </w:rPr>
              <w:t>（完工期）：</w:t>
            </w:r>
            <w:r>
              <w:rPr>
                <w:rFonts w:hint="eastAsia" w:ascii="宋体" w:hAnsi="宋体"/>
                <w:color w:val="FF0000"/>
                <w:szCs w:val="21"/>
              </w:rPr>
              <w:t>7</w:t>
            </w:r>
            <w:r>
              <w:rPr>
                <w:rFonts w:hint="eastAsia"/>
                <w:color w:val="000000" w:themeColor="text1"/>
                <w:szCs w:val="21"/>
                <w14:textFill>
                  <w14:solidFill>
                    <w14:schemeClr w14:val="tx1"/>
                  </w14:solidFill>
                </w14:textFill>
              </w:rPr>
              <w:t>个日历天，自合同签订之日计起；</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4、质量保证：必须是原厂全新合格产品，</w:t>
            </w:r>
            <w:r>
              <w:rPr>
                <w:rFonts w:hint="eastAsia"/>
                <w:color w:val="FF0000"/>
                <w:szCs w:val="21"/>
              </w:rPr>
              <w:t>质保期应不少于3年</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付款</w:t>
            </w:r>
            <w:r>
              <w:rPr>
                <w:rFonts w:hint="eastAsia"/>
                <w:color w:val="000000" w:themeColor="text1"/>
                <w:szCs w:val="21"/>
                <w14:textFill>
                  <w14:solidFill>
                    <w14:schemeClr w14:val="tx1"/>
                  </w14:solidFill>
                </w14:textFill>
              </w:rPr>
              <w:t>方式：需方在货物验收合格后的7个工作日内，将货款全额划入供方帐户</w:t>
            </w:r>
            <w:r>
              <w:rPr>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本项目技术联系人</w:t>
            </w:r>
            <w:r>
              <w:rPr>
                <w:rFonts w:hint="eastAsia"/>
                <w:color w:val="000000" w:themeColor="text1"/>
                <w:szCs w:val="21"/>
                <w14:textFill>
                  <w14:solidFill>
                    <w14:schemeClr w14:val="tx1"/>
                  </w14:solidFill>
                </w14:textFill>
              </w:rPr>
              <w:t>：王东亮，电话13812535805，地址：无锡市高浪西路1600号无锡职业技术学院图书馆。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7、本项目最高限价为</w:t>
            </w:r>
            <w:r>
              <w:rPr>
                <w:rFonts w:hint="eastAsia"/>
                <w:color w:val="FF0000"/>
                <w:szCs w:val="21"/>
              </w:rPr>
              <w:t>9.6</w:t>
            </w:r>
            <w:r>
              <w:rPr>
                <w:rFonts w:hint="eastAsia"/>
                <w:color w:val="000000" w:themeColor="text1"/>
                <w:szCs w:val="21"/>
                <w14:textFill>
                  <w14:solidFill>
                    <w14:schemeClr w14:val="tx1"/>
                  </w14:solidFill>
                </w14:textFill>
              </w:rPr>
              <w:t>万元，超过最高限价视报价无效；</w:t>
            </w:r>
          </w:p>
          <w:p>
            <w:r>
              <w:rPr>
                <w:rFonts w:hint="eastAsia"/>
                <w:color w:val="000000" w:themeColor="text1"/>
                <w:szCs w:val="21"/>
                <w14:textFill>
                  <w14:solidFill>
                    <w14:schemeClr w14:val="tx1"/>
                  </w14:solidFill>
                </w14:textFill>
              </w:rPr>
              <w:t>8、报价文件请授权代表签字并加盖单位公章后于</w:t>
            </w:r>
            <w:r>
              <w:rPr>
                <w:rFonts w:hint="eastAsia"/>
                <w:color w:val="FF0000"/>
                <w:szCs w:val="21"/>
              </w:rPr>
              <w:t>2021年6月7日</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00前寄送至无锡职业技术学院资产管理处</w:t>
            </w:r>
            <w:r>
              <w:rPr>
                <w:rFonts w:hint="eastAsia"/>
                <w:szCs w:val="21"/>
              </w:rPr>
              <w:t>综合楼9</w:t>
            </w:r>
            <w:r>
              <w:rPr>
                <w:szCs w:val="21"/>
              </w:rPr>
              <w:t>19</w:t>
            </w:r>
            <w:r>
              <w:rPr>
                <w:rFonts w:hint="eastAsia"/>
                <w:szCs w:val="21"/>
              </w:rPr>
              <w:t>室</w:t>
            </w:r>
            <w:r>
              <w:rPr>
                <w:rFonts w:hint="eastAsia"/>
                <w:color w:val="FF0000"/>
              </w:rPr>
              <w:t>（疫情</w:t>
            </w:r>
            <w:r>
              <w:rPr>
                <w:color w:val="FF0000"/>
              </w:rPr>
              <w:t>防控期间</w:t>
            </w:r>
            <w:r>
              <w:rPr>
                <w:rFonts w:hint="eastAsia"/>
                <w:color w:val="FF0000"/>
              </w:rPr>
              <w:t>报价</w:t>
            </w:r>
            <w:r>
              <w:rPr>
                <w:color w:val="FF0000"/>
              </w:rPr>
              <w:t>文件采用</w:t>
            </w:r>
            <w:r>
              <w:rPr>
                <w:rFonts w:hint="eastAsia"/>
                <w:color w:val="FF0000"/>
              </w:rPr>
              <w:t>顺丰邮寄方式，报</w:t>
            </w:r>
            <w:r>
              <w:rPr>
                <w:color w:val="FF0000"/>
              </w:rPr>
              <w:t>价人</w:t>
            </w:r>
            <w:r>
              <w:rPr>
                <w:rFonts w:hint="eastAsia"/>
                <w:color w:val="FF0000"/>
              </w:rPr>
              <w:t>应充分</w:t>
            </w:r>
            <w:r>
              <w:rPr>
                <w:color w:val="FF0000"/>
              </w:rPr>
              <w:t>考虑邮</w:t>
            </w:r>
            <w:r>
              <w:rPr>
                <w:rFonts w:hint="eastAsia"/>
                <w:color w:val="FF0000"/>
              </w:rPr>
              <w:t>件</w:t>
            </w:r>
            <w:r>
              <w:rPr>
                <w:color w:val="FF0000"/>
              </w:rPr>
              <w:t>在途时间，保证报价文件能够在截止时间之前送达</w:t>
            </w:r>
            <w:r>
              <w:rPr>
                <w:rFonts w:hint="eastAsia"/>
                <w:color w:val="FF0000"/>
              </w:rPr>
              <w:t>学校</w:t>
            </w:r>
            <w:r>
              <w:rPr>
                <w:color w:val="FF0000"/>
              </w:rPr>
              <w:t>。</w:t>
            </w:r>
            <w:r>
              <w:rPr>
                <w:rFonts w:hint="eastAsia"/>
                <w:color w:val="FF0000"/>
              </w:rPr>
              <w:t>顺丰寄出</w:t>
            </w:r>
            <w:r>
              <w:rPr>
                <w:color w:val="FF0000"/>
              </w:rPr>
              <w:t>报价</w:t>
            </w:r>
            <w:r>
              <w:rPr>
                <w:rFonts w:hint="eastAsia"/>
                <w:color w:val="FF0000"/>
              </w:rPr>
              <w:t>文件时务必</w:t>
            </w:r>
            <w:r>
              <w:rPr>
                <w:color w:val="FF0000"/>
              </w:rPr>
              <w:t>联系</w:t>
            </w:r>
            <w:r>
              <w:rPr>
                <w:rFonts w:hint="eastAsia"/>
                <w:color w:val="FF0000"/>
              </w:rPr>
              <w:t>图书馆杨老师 1</w:t>
            </w:r>
            <w:r>
              <w:rPr>
                <w:color w:val="FF0000"/>
              </w:rPr>
              <w:t>3771503621</w:t>
            </w:r>
            <w:r>
              <w:rPr>
                <w:rFonts w:hint="eastAsia"/>
                <w:color w:val="FF0000"/>
              </w:rPr>
              <w:t xml:space="preserve"> </w:t>
            </w:r>
            <w:r>
              <w:rPr>
                <w:color w:val="FF0000"/>
              </w:rPr>
              <w:t>告知</w:t>
            </w:r>
            <w:r>
              <w:rPr>
                <w:rFonts w:hint="eastAsia"/>
                <w:color w:val="FF0000"/>
              </w:rPr>
              <w:t>邮件</w:t>
            </w:r>
            <w:r>
              <w:rPr>
                <w:color w:val="FF0000"/>
              </w:rPr>
              <w:t>单号）</w:t>
            </w:r>
            <w:r>
              <w:rPr>
                <w:rFonts w:hint="eastAsia"/>
              </w:rPr>
              <w:t>。</w:t>
            </w:r>
          </w:p>
          <w:p>
            <w:pPr>
              <w:rPr>
                <w:color w:val="C00000"/>
              </w:rPr>
            </w:pPr>
            <w:r>
              <w:t>9、</w:t>
            </w:r>
            <w:r>
              <w:rPr>
                <w:rFonts w:hint="eastAsia"/>
              </w:rPr>
              <w:t>报价文件中除报价资料外还应包含以下资料：（1）</w:t>
            </w:r>
            <w:r>
              <w:t>营业执照复印件</w:t>
            </w:r>
            <w:r>
              <w:rPr>
                <w:rFonts w:hint="eastAsia"/>
              </w:rPr>
              <w:t>（加盖公章），（2）</w:t>
            </w:r>
            <w:r>
              <w:t>法定代表人身份证复印件</w:t>
            </w:r>
            <w:r>
              <w:rPr>
                <w:rFonts w:hint="eastAsia"/>
              </w:rPr>
              <w:t>，（3）</w:t>
            </w:r>
            <w:r>
              <w:t>授权代表还需提供法人授权委托书原件</w:t>
            </w:r>
            <w:r>
              <w:rPr>
                <w:rFonts w:hint="eastAsia"/>
              </w:rPr>
              <w:t>，（4）</w:t>
            </w:r>
            <w:r>
              <w:t>授权代表身份证复印件</w:t>
            </w:r>
            <w:r>
              <w:rPr>
                <w:rFonts w:hint="eastAsia"/>
              </w:rPr>
              <w:t>。</w:t>
            </w:r>
          </w:p>
          <w:p>
            <w:r>
              <w:rPr>
                <w:rFonts w:hint="eastAsia"/>
              </w:rPr>
              <w:t>三、确定成交单位</w:t>
            </w:r>
          </w:p>
          <w:p>
            <w:pPr>
              <w:autoSpaceDE w:val="0"/>
              <w:autoSpaceDN w:val="0"/>
              <w:adjustRightInd w:val="0"/>
              <w:ind w:firstLine="210" w:firstLineChars="100"/>
            </w:pPr>
            <w:r>
              <w:rPr>
                <w:rFonts w:hint="eastAsia"/>
                <w:color w:val="FF0000"/>
              </w:rPr>
              <w:t>疫情</w:t>
            </w:r>
            <w:r>
              <w:rPr>
                <w:color w:val="FF0000"/>
              </w:rPr>
              <w:t>防控期间</w:t>
            </w:r>
            <w:r>
              <w:rPr>
                <w:rFonts w:hint="eastAsia"/>
                <w:color w:val="FF0000"/>
              </w:rPr>
              <w:t>本项目</w:t>
            </w:r>
            <w:r>
              <w:rPr>
                <w:color w:val="FF0000"/>
              </w:rPr>
              <w:t>采用非现场方式实施，成交结果</w:t>
            </w:r>
            <w:r>
              <w:rPr>
                <w:rFonts w:hint="eastAsia"/>
                <w:color w:val="FF0000"/>
              </w:rPr>
              <w:t>通过学校</w:t>
            </w:r>
            <w:r>
              <w:rPr>
                <w:color w:val="FF0000"/>
              </w:rPr>
              <w:t>主页</w:t>
            </w:r>
            <w:r>
              <w:rPr>
                <w:rFonts w:hint="eastAsia"/>
                <w:color w:val="FF0000"/>
              </w:rPr>
              <w:t>“招标</w:t>
            </w:r>
            <w:r>
              <w:rPr>
                <w:color w:val="FF0000"/>
              </w:rPr>
              <w:t>采购</w:t>
            </w:r>
            <w:r>
              <w:rPr>
                <w:rFonts w:hint="eastAsia"/>
                <w:color w:val="FF0000"/>
              </w:rPr>
              <w:t>”栏公布。</w:t>
            </w:r>
            <w:r>
              <w:rPr>
                <w:rFonts w:hint="eastAsia"/>
              </w:rPr>
              <w:t>学校组织3人及以上单数询价小组，对报价文件进行资格性及符合性检查，通过资格性及符合性检查的单位报价文件，由询价小组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w:t>
            </w:r>
          </w:p>
        </w:tc>
        <w:tc>
          <w:tcPr>
            <w:tcW w:w="6804"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p>
            <w:pPr>
              <w:rPr>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5"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6378" w:type="dxa"/>
            <w:gridSpan w:val="4"/>
            <w:tcBorders>
              <w:bottom w:val="double" w:color="auto" w:sz="4" w:space="0"/>
              <w:right w:val="dotDotDash" w:color="auto" w:sz="18" w:space="0"/>
            </w:tcBorders>
            <w:vAlign w:val="center"/>
          </w:tcPr>
          <w:p>
            <w:pPr>
              <w:jc w:val="lef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评审时间：20</w:t>
            </w:r>
            <w:r>
              <w:rPr>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1年6月7日9:00</w:t>
            </w:r>
          </w:p>
          <w:p>
            <w:pPr>
              <w:jc w:val="left"/>
              <w:rPr>
                <w:color w:val="000000"/>
                <w:sz w:val="24"/>
              </w:rPr>
            </w:pPr>
            <w:r>
              <w:rPr>
                <w:color w:val="000000" w:themeColor="text1"/>
                <w:szCs w:val="21"/>
                <w:u w:val="single"/>
                <w14:textFill>
                  <w14:solidFill>
                    <w14:schemeClr w14:val="tx1"/>
                  </w14:solidFill>
                </w14:textFill>
              </w:rPr>
              <w:t>评审地点</w:t>
            </w:r>
            <w:r>
              <w:rPr>
                <w:rFonts w:hint="eastAsia"/>
                <w:color w:val="000000" w:themeColor="text1"/>
                <w:szCs w:val="21"/>
                <w:u w:val="single"/>
                <w14:textFill>
                  <w14:solidFill>
                    <w14:schemeClr w14:val="tx1"/>
                  </w14:solidFill>
                </w14:textFill>
              </w:rPr>
              <w:t>：无锡市高浪西路1600号无锡职业技术学院综合楼919室</w:t>
            </w:r>
          </w:p>
        </w:tc>
        <w:tc>
          <w:tcPr>
            <w:tcW w:w="3119"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3685" w:type="dxa"/>
            <w:gridSpan w:val="4"/>
            <w:tcBorders>
              <w:top w:val="single" w:color="auto" w:sz="6" w:space="0"/>
              <w:bottom w:val="double" w:color="auto" w:sz="4" w:space="0"/>
            </w:tcBorders>
          </w:tcPr>
          <w:p>
            <w:pPr>
              <w:jc w:val="left"/>
              <w:rPr>
                <w:color w:val="000000"/>
                <w:sz w:val="24"/>
              </w:rPr>
            </w:pPr>
            <w:r>
              <w:rPr>
                <w:rFonts w:hint="eastAsia"/>
                <w:color w:val="000000"/>
                <w:sz w:val="24"/>
              </w:rPr>
              <w:t>　小写：</w:t>
            </w:r>
          </w:p>
          <w:p>
            <w:pPr>
              <w:ind w:firstLine="240" w:firstLineChars="100"/>
              <w:jc w:val="left"/>
              <w:rPr>
                <w:color w:val="000000"/>
                <w:sz w:val="24"/>
              </w:rPr>
            </w:pPr>
          </w:p>
          <w:p>
            <w:pPr>
              <w:ind w:firstLine="240" w:firstLineChars="100"/>
              <w:jc w:val="left"/>
              <w:rPr>
                <w:color w:val="000000"/>
                <w:sz w:val="24"/>
              </w:rPr>
            </w:pPr>
            <w:r>
              <w:rPr>
                <w:rFonts w:hint="eastAsia"/>
                <w:color w:val="000000"/>
                <w:sz w:val="24"/>
              </w:rPr>
              <w:t>大写：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923"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6804"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pStyle w:val="4"/>
        <w:jc w:val="both"/>
      </w:pPr>
    </w:p>
    <w:p>
      <w:pPr>
        <w:widowControl/>
        <w:jc w:val="left"/>
      </w:pPr>
      <w:r>
        <w:br w:type="page"/>
      </w:r>
    </w:p>
    <w:p/>
    <w:p>
      <w:pPr>
        <w:jc w:val="center"/>
        <w:rPr>
          <w:rFonts w:ascii="微软雅黑" w:hAnsi="微软雅黑" w:eastAsia="微软雅黑"/>
          <w:b/>
          <w:sz w:val="36"/>
          <w:szCs w:val="36"/>
        </w:rPr>
      </w:pPr>
      <w:r>
        <w:rPr>
          <w:rFonts w:hint="eastAsia" w:ascii="微软雅黑" w:hAnsi="微软雅黑" w:eastAsia="微软雅黑"/>
          <w:b/>
          <w:sz w:val="36"/>
          <w:szCs w:val="36"/>
        </w:rPr>
        <w:t>电子资源远程访问统计系统参数</w:t>
      </w: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软件功能描述：</w:t>
      </w: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w:t>
      </w:r>
      <w:r>
        <w:rPr>
          <w:rFonts w:ascii="宋体" w:hAnsi="宋体"/>
          <w:color w:val="000000" w:themeColor="text1"/>
          <w:sz w:val="24"/>
          <w:szCs w:val="24"/>
          <w14:textFill>
            <w14:solidFill>
              <w14:schemeClr w14:val="tx1"/>
            </w14:solidFill>
          </w14:textFill>
        </w:rPr>
        <w:t>图书馆</w:t>
      </w:r>
      <w:r>
        <w:rPr>
          <w:rFonts w:hint="eastAsia" w:ascii="宋体" w:hAnsi="宋体"/>
          <w:color w:val="000000" w:themeColor="text1"/>
          <w:sz w:val="24"/>
          <w:szCs w:val="24"/>
          <w14:textFill>
            <w14:solidFill>
              <w14:schemeClr w14:val="tx1"/>
            </w14:solidFill>
          </w14:textFill>
        </w:rPr>
        <w:t>订购的电子资源</w:t>
      </w:r>
      <w:r>
        <w:rPr>
          <w:rFonts w:ascii="宋体" w:hAnsi="宋体"/>
          <w:color w:val="000000" w:themeColor="text1"/>
          <w:sz w:val="24"/>
          <w:szCs w:val="24"/>
          <w14:textFill>
            <w14:solidFill>
              <w14:schemeClr w14:val="tx1"/>
            </w14:solidFill>
          </w14:textFill>
        </w:rPr>
        <w:t>数据库</w:t>
      </w:r>
      <w:r>
        <w:rPr>
          <w:rFonts w:hint="eastAsia" w:ascii="宋体" w:hAnsi="宋体"/>
          <w:color w:val="000000" w:themeColor="text1"/>
          <w:sz w:val="24"/>
          <w:szCs w:val="24"/>
          <w14:textFill>
            <w14:solidFill>
              <w14:schemeClr w14:val="tx1"/>
            </w14:solidFill>
          </w14:textFill>
        </w:rPr>
        <w:t>平台提供读者校外</w:t>
      </w:r>
      <w:r>
        <w:rPr>
          <w:rFonts w:ascii="宋体" w:hAnsi="宋体"/>
          <w:color w:val="000000" w:themeColor="text1"/>
          <w:sz w:val="24"/>
          <w:szCs w:val="24"/>
          <w14:textFill>
            <w14:solidFill>
              <w14:schemeClr w14:val="tx1"/>
            </w14:solidFill>
          </w14:textFill>
        </w:rPr>
        <w:t>远程访问</w:t>
      </w:r>
      <w:r>
        <w:rPr>
          <w:rFonts w:hint="eastAsia" w:ascii="宋体" w:hAnsi="宋体"/>
          <w:color w:val="000000" w:themeColor="text1"/>
          <w:sz w:val="24"/>
          <w:szCs w:val="24"/>
          <w14:textFill>
            <w14:solidFill>
              <w14:schemeClr w14:val="tx1"/>
            </w14:solidFill>
          </w14:textFill>
        </w:rPr>
        <w:t>方式，并支持对读者的数据库远程访问记录进行全方位数据统计分析。</w:t>
      </w:r>
    </w:p>
    <w:p>
      <w:pPr>
        <w:spacing w:line="360" w:lineRule="auto"/>
        <w:jc w:val="left"/>
        <w:rPr>
          <w:rFonts w:ascii="宋体" w:hAnsi="宋体"/>
          <w:color w:val="000000" w:themeColor="text1"/>
          <w:sz w:val="24"/>
          <w:szCs w:val="24"/>
          <w14:textFill>
            <w14:solidFill>
              <w14:schemeClr w14:val="tx1"/>
            </w14:solidFill>
          </w14:textFill>
        </w:rPr>
      </w:pP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软件参数指标：</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无用户并发访问限制。</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读者无需安装任何插件或客户端，只需使用浏览器就可以在校外直接访问图书馆电子资源数据库平台。</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支持终端读者从多操作平台使用系统，支持Windows、Mac、Linux、Android、IOS等电脑或手机操作系统平台。</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★支持对HTTPS加密协议网站资源的远程访问。允许图书馆采用自有CA证书，为HTTPS网站的访问提供安全保障。</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与学校或图书馆自身的认证系统或第三方账号体系对接，方便读者采用熟悉的账号进行登录认证。可对接图书馆自动化系统、校园一卡通系统、数字化校园平台、OA平台等系统。支持LDAP、URL认证等多种读者认证方式。</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w:t>
      </w:r>
      <w:r>
        <w:rPr>
          <w:rFonts w:ascii="宋体" w:hAnsi="宋体"/>
          <w:color w:val="000000" w:themeColor="text1"/>
          <w:sz w:val="24"/>
          <w:szCs w:val="24"/>
          <w14:textFill>
            <w14:solidFill>
              <w14:schemeClr w14:val="tx1"/>
            </w14:solidFill>
          </w14:textFill>
        </w:rPr>
        <w:t>网站之间的互通</w:t>
      </w:r>
      <w:r>
        <w:rPr>
          <w:rFonts w:hint="eastAsia" w:ascii="宋体" w:hAnsi="宋体"/>
          <w:color w:val="000000" w:themeColor="text1"/>
          <w:sz w:val="24"/>
          <w:szCs w:val="24"/>
          <w14:textFill>
            <w14:solidFill>
              <w14:schemeClr w14:val="tx1"/>
            </w14:solidFill>
          </w14:textFill>
        </w:rPr>
        <w:t>访问</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支持读者从一个资源网站平滑跳转到另一个资源网站，而无需重新认证登录。</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★支持系统定时自动检测数据库访问情况，当数据库访问发生异常时，自动提醒图书馆管理员进行异常处理。</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★支持图书馆管理员实时配置各数据库的资源访问规则，并可下载云端实时更新的数据库资源配置规则列表，简化配置流程。</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支持面向读者的数据库导航功能，可根据语种、文献类型、AtoZ字母等多种模式进行数据库资源导航。</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支持按用户类型分组控制用户访问权限，设定各用户组的访问站点范围。</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★支持设定用户每日访问的最大流量，流量使用满后自动停止当日访问权限。</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支持异常访问预警机制，单一IP或用户异常访问时，自动提醒图书馆管理员。</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支持多种接入方式：可实现一套系统多种网络接入与认证方式，比如：教育网、网通、电信、联通等多种网络同时接入系统。</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★软件部署服务器采用LINUX操作系统平台。支持采用服务器群集模式。支持对多出口IP资源池的访问负载均衡调度。</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支持详细的使用分析统计功能。支持提供数据库搜索、下载、详情页面点击等多种用户行为的统计分析报表功能。提供符合Counter4格式的数据库使用统计报表。</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★支持对用户不同用户群组的资源使用行为数据进行群组差异性分析。可根据用户专业、性别、读者类型等属性进行群组分析。</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★支持采用搜索转化率、新老用户比例等指标对数据库进行深度分析。</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支持提供热门资源排行、热门搜索词、热门下载文献、读者排行榜等多种排行榜功能。</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★支持分析来访用户的IP来源范围，并采用地图模式进行直观展现。</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支持日志接口A</w:t>
      </w:r>
      <w:r>
        <w:rPr>
          <w:rFonts w:ascii="宋体" w:hAnsi="宋体"/>
          <w:color w:val="000000" w:themeColor="text1"/>
          <w:sz w:val="24"/>
          <w:szCs w:val="24"/>
          <w14:textFill>
            <w14:solidFill>
              <w14:schemeClr w14:val="tx1"/>
            </w14:solidFill>
          </w14:textFill>
        </w:rPr>
        <w:t>PI</w:t>
      </w:r>
      <w:r>
        <w:rPr>
          <w:rFonts w:hint="eastAsia" w:ascii="宋体" w:hAnsi="宋体"/>
          <w:color w:val="000000" w:themeColor="text1"/>
          <w:sz w:val="24"/>
          <w:szCs w:val="24"/>
          <w14:textFill>
            <w14:solidFill>
              <w14:schemeClr w14:val="tx1"/>
            </w14:solidFill>
          </w14:textFill>
        </w:rPr>
        <w:t>，确保其他应用系统可以依据本系统数据完成对读者、电子资源使用的分析统计。</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持智能网关，可由智能网关统一调配读者进行数据库站点访问的路径，同时智能网关可与图书馆自身的电子资源列表或其他公司的图书馆门户中资源列表结合，不用提供给读者单独的校外访问专属链接，使得读者无论在校内校外使用数据库的时候真正做到无感访问。智能网关同时可记录读者走校内访问链路到达数据库的次数。</w:t>
      </w:r>
    </w:p>
    <w:p>
      <w:pPr>
        <w:pStyle w:val="17"/>
        <w:numPr>
          <w:ilvl w:val="0"/>
          <w:numId w:val="1"/>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后期维护</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使用云数据中心持续提供数据更新以及程序更新服务</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14:textFill>
            <w14:solidFill>
              <w14:schemeClr w14:val="tx1"/>
            </w14:solidFill>
          </w14:textFill>
        </w:rPr>
        <w:t>。</w:t>
      </w:r>
    </w:p>
    <w:p>
      <w:pPr>
        <w:pStyle w:val="17"/>
        <w:spacing w:line="360" w:lineRule="auto"/>
        <w:ind w:firstLine="0" w:firstLineChars="0"/>
        <w:jc w:val="left"/>
        <w:rPr>
          <w:rFonts w:ascii="宋体" w:hAnsi="宋体"/>
          <w:color w:val="000000" w:themeColor="text1"/>
          <w:sz w:val="24"/>
          <w:szCs w:val="24"/>
          <w14:textFill>
            <w14:solidFill>
              <w14:schemeClr w14:val="tx1"/>
            </w14:solidFill>
          </w14:textFill>
        </w:rPr>
      </w:pPr>
    </w:p>
    <w:p>
      <w:pPr>
        <w:pStyle w:val="17"/>
        <w:spacing w:line="360" w:lineRule="auto"/>
        <w:ind w:firstLine="0" w:firstLineChars="0"/>
        <w:jc w:val="left"/>
        <w:rPr>
          <w:rFonts w:ascii="宋体" w:hAnsi="宋体"/>
          <w:color w:val="FF0000"/>
          <w:sz w:val="24"/>
          <w:szCs w:val="24"/>
        </w:rPr>
      </w:pPr>
      <w:r>
        <w:rPr>
          <w:rFonts w:hint="eastAsia" w:ascii="宋体" w:hAnsi="宋体"/>
          <w:color w:val="FF0000"/>
          <w:sz w:val="24"/>
          <w:szCs w:val="24"/>
        </w:rPr>
        <w:t>附加说明</w:t>
      </w:r>
    </w:p>
    <w:p>
      <w:pPr>
        <w:pStyle w:val="17"/>
        <w:spacing w:line="360" w:lineRule="auto"/>
        <w:ind w:firstLine="0" w:firstLineChars="0"/>
        <w:jc w:val="left"/>
        <w:rPr>
          <w:rFonts w:ascii="宋体" w:hAnsi="宋体"/>
          <w:color w:val="FF0000"/>
          <w:sz w:val="24"/>
          <w:szCs w:val="24"/>
        </w:rPr>
      </w:pPr>
      <w:r>
        <w:rPr>
          <w:rFonts w:ascii="宋体" w:hAnsi="宋体"/>
          <w:color w:val="FF0000"/>
          <w:sz w:val="24"/>
          <w:szCs w:val="24"/>
        </w:rPr>
        <w:t>1. 本次采购三年，项目按年付款，请列出每年付款金额。三年后，若继续续费，续签年费不高于第三年的费用。</w:t>
      </w:r>
    </w:p>
    <w:p>
      <w:pPr>
        <w:pStyle w:val="17"/>
        <w:spacing w:line="360" w:lineRule="auto"/>
        <w:ind w:firstLine="0" w:firstLineChars="0"/>
        <w:jc w:val="left"/>
        <w:rPr>
          <w:rFonts w:ascii="宋体" w:hAnsi="宋体"/>
          <w:color w:val="FF0000"/>
          <w:sz w:val="24"/>
          <w:szCs w:val="24"/>
        </w:rPr>
      </w:pPr>
      <w:r>
        <w:rPr>
          <w:rFonts w:ascii="宋体" w:hAnsi="宋体"/>
          <w:color w:val="FF0000"/>
          <w:sz w:val="24"/>
          <w:szCs w:val="24"/>
        </w:rPr>
        <w:t>2. 项目中涉及的接口费用，由中标方承担。</w:t>
      </w:r>
    </w:p>
    <w:p>
      <w:pPr>
        <w:pStyle w:val="2"/>
        <w:spacing w:line="360" w:lineRule="auto"/>
        <w:jc w:val="left"/>
        <w:rPr>
          <w:rFonts w:hAnsi="宋体"/>
          <w:color w:val="000000" w:themeColor="text1"/>
          <w:sz w:val="24"/>
          <w:szCs w:val="24"/>
          <w14:textFill>
            <w14:solidFill>
              <w14:schemeClr w14:val="tx1"/>
            </w14:solidFill>
          </w14:textFill>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w:panose1 w:val="020B0504020202030204"/>
    <w:charset w:val="00"/>
    <w:family w:val="swiss"/>
    <w:pitch w:val="default"/>
    <w:sig w:usb0="00000007"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413EC"/>
    <w:multiLevelType w:val="multilevel"/>
    <w:tmpl w:val="4BA413EC"/>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0D"/>
    <w:rsid w:val="0000636A"/>
    <w:rsid w:val="00051595"/>
    <w:rsid w:val="00052A2D"/>
    <w:rsid w:val="000541D0"/>
    <w:rsid w:val="00103E72"/>
    <w:rsid w:val="00106531"/>
    <w:rsid w:val="0013120D"/>
    <w:rsid w:val="00160C5C"/>
    <w:rsid w:val="001C37CB"/>
    <w:rsid w:val="00236015"/>
    <w:rsid w:val="00255D23"/>
    <w:rsid w:val="0028736D"/>
    <w:rsid w:val="0029538B"/>
    <w:rsid w:val="00296989"/>
    <w:rsid w:val="002C7AE3"/>
    <w:rsid w:val="002E2B16"/>
    <w:rsid w:val="002E5AB5"/>
    <w:rsid w:val="00366D9C"/>
    <w:rsid w:val="00367B86"/>
    <w:rsid w:val="003805D3"/>
    <w:rsid w:val="003C6432"/>
    <w:rsid w:val="003D5465"/>
    <w:rsid w:val="003D581B"/>
    <w:rsid w:val="003F0E1E"/>
    <w:rsid w:val="00415C06"/>
    <w:rsid w:val="0041611C"/>
    <w:rsid w:val="004221AF"/>
    <w:rsid w:val="0042254F"/>
    <w:rsid w:val="004350A2"/>
    <w:rsid w:val="004436D8"/>
    <w:rsid w:val="004521C2"/>
    <w:rsid w:val="00455619"/>
    <w:rsid w:val="004D194A"/>
    <w:rsid w:val="004E4DD9"/>
    <w:rsid w:val="005201B2"/>
    <w:rsid w:val="00566CE1"/>
    <w:rsid w:val="00570C4D"/>
    <w:rsid w:val="00580BE3"/>
    <w:rsid w:val="005971D8"/>
    <w:rsid w:val="005A53C3"/>
    <w:rsid w:val="00615BEF"/>
    <w:rsid w:val="00625FF5"/>
    <w:rsid w:val="00652A44"/>
    <w:rsid w:val="006C4830"/>
    <w:rsid w:val="006C4E6E"/>
    <w:rsid w:val="00705D19"/>
    <w:rsid w:val="00712F2B"/>
    <w:rsid w:val="0072498A"/>
    <w:rsid w:val="00730415"/>
    <w:rsid w:val="0075797D"/>
    <w:rsid w:val="00764763"/>
    <w:rsid w:val="00777BCF"/>
    <w:rsid w:val="0078101E"/>
    <w:rsid w:val="00784DD8"/>
    <w:rsid w:val="00791590"/>
    <w:rsid w:val="007A5B0B"/>
    <w:rsid w:val="007B22C7"/>
    <w:rsid w:val="007E346A"/>
    <w:rsid w:val="007F415C"/>
    <w:rsid w:val="00816ECC"/>
    <w:rsid w:val="008245D6"/>
    <w:rsid w:val="0089385F"/>
    <w:rsid w:val="008A027A"/>
    <w:rsid w:val="008A3AEC"/>
    <w:rsid w:val="008A6D18"/>
    <w:rsid w:val="009046F6"/>
    <w:rsid w:val="00937023"/>
    <w:rsid w:val="00966AA0"/>
    <w:rsid w:val="009B0B44"/>
    <w:rsid w:val="009F096D"/>
    <w:rsid w:val="009F44ED"/>
    <w:rsid w:val="00A40B4C"/>
    <w:rsid w:val="00A62995"/>
    <w:rsid w:val="00A74D60"/>
    <w:rsid w:val="00A7536C"/>
    <w:rsid w:val="00A85BB5"/>
    <w:rsid w:val="00AA1CD9"/>
    <w:rsid w:val="00AA7C52"/>
    <w:rsid w:val="00AC64D3"/>
    <w:rsid w:val="00AE0218"/>
    <w:rsid w:val="00AF5A81"/>
    <w:rsid w:val="00B3146C"/>
    <w:rsid w:val="00B37042"/>
    <w:rsid w:val="00B46BBC"/>
    <w:rsid w:val="00B672E5"/>
    <w:rsid w:val="00BB2CC4"/>
    <w:rsid w:val="00BB4333"/>
    <w:rsid w:val="00BD500C"/>
    <w:rsid w:val="00C0403C"/>
    <w:rsid w:val="00C266B0"/>
    <w:rsid w:val="00C40B45"/>
    <w:rsid w:val="00C91992"/>
    <w:rsid w:val="00CA4131"/>
    <w:rsid w:val="00CB17C4"/>
    <w:rsid w:val="00D011BB"/>
    <w:rsid w:val="00D03CA2"/>
    <w:rsid w:val="00D247C6"/>
    <w:rsid w:val="00DB42E3"/>
    <w:rsid w:val="00DB676B"/>
    <w:rsid w:val="00DD0354"/>
    <w:rsid w:val="00E55A7A"/>
    <w:rsid w:val="00E75783"/>
    <w:rsid w:val="00E76C92"/>
    <w:rsid w:val="00EB0566"/>
    <w:rsid w:val="00EC7A50"/>
    <w:rsid w:val="00ED4790"/>
    <w:rsid w:val="00EE0A62"/>
    <w:rsid w:val="00EF010B"/>
    <w:rsid w:val="00F04213"/>
    <w:rsid w:val="00F30092"/>
    <w:rsid w:val="00F4413A"/>
    <w:rsid w:val="00FE6B70"/>
    <w:rsid w:val="04721101"/>
    <w:rsid w:val="084A1A95"/>
    <w:rsid w:val="0C166AFD"/>
    <w:rsid w:val="0D1234CC"/>
    <w:rsid w:val="0DA42347"/>
    <w:rsid w:val="0FBF65F9"/>
    <w:rsid w:val="11B14F05"/>
    <w:rsid w:val="145C4FE3"/>
    <w:rsid w:val="14953BE6"/>
    <w:rsid w:val="18505401"/>
    <w:rsid w:val="186026A8"/>
    <w:rsid w:val="199C637C"/>
    <w:rsid w:val="1C537CEF"/>
    <w:rsid w:val="1CB25D62"/>
    <w:rsid w:val="1DE15EA2"/>
    <w:rsid w:val="201104DA"/>
    <w:rsid w:val="25A04B46"/>
    <w:rsid w:val="2CCD62B5"/>
    <w:rsid w:val="2E65560C"/>
    <w:rsid w:val="2F7A788B"/>
    <w:rsid w:val="305030B9"/>
    <w:rsid w:val="327309AD"/>
    <w:rsid w:val="35EB7CDE"/>
    <w:rsid w:val="3649776E"/>
    <w:rsid w:val="3939500F"/>
    <w:rsid w:val="3B395C09"/>
    <w:rsid w:val="3CC01F5D"/>
    <w:rsid w:val="3D6B65C1"/>
    <w:rsid w:val="3DA90D46"/>
    <w:rsid w:val="3FAE7E03"/>
    <w:rsid w:val="406516B3"/>
    <w:rsid w:val="42367DA5"/>
    <w:rsid w:val="4268588E"/>
    <w:rsid w:val="42A75502"/>
    <w:rsid w:val="453E44AC"/>
    <w:rsid w:val="45830D0E"/>
    <w:rsid w:val="461C0BB4"/>
    <w:rsid w:val="4624477E"/>
    <w:rsid w:val="48B7295B"/>
    <w:rsid w:val="4CD452CF"/>
    <w:rsid w:val="4DB8283C"/>
    <w:rsid w:val="513439D2"/>
    <w:rsid w:val="518812DB"/>
    <w:rsid w:val="520C5148"/>
    <w:rsid w:val="54E737B3"/>
    <w:rsid w:val="56430647"/>
    <w:rsid w:val="56B72407"/>
    <w:rsid w:val="570117F7"/>
    <w:rsid w:val="57D82E00"/>
    <w:rsid w:val="581E7394"/>
    <w:rsid w:val="58F40071"/>
    <w:rsid w:val="59845403"/>
    <w:rsid w:val="59AB2008"/>
    <w:rsid w:val="5A393908"/>
    <w:rsid w:val="5B60545F"/>
    <w:rsid w:val="5D7C30DE"/>
    <w:rsid w:val="5DA42AC1"/>
    <w:rsid w:val="5EDD1ADD"/>
    <w:rsid w:val="5F135A16"/>
    <w:rsid w:val="612C626E"/>
    <w:rsid w:val="61D4500E"/>
    <w:rsid w:val="642D7194"/>
    <w:rsid w:val="65E735CB"/>
    <w:rsid w:val="68D81AAF"/>
    <w:rsid w:val="6CF92646"/>
    <w:rsid w:val="719A562B"/>
    <w:rsid w:val="744A1C88"/>
    <w:rsid w:val="74E62D34"/>
    <w:rsid w:val="77434EF4"/>
    <w:rsid w:val="77FF0BC6"/>
    <w:rsid w:val="79446BF7"/>
    <w:rsid w:val="7BB6398D"/>
    <w:rsid w:val="7DE012F1"/>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4"/>
    <w:basedOn w:val="1"/>
    <w:next w:val="1"/>
    <w:qFormat/>
    <w:uiPriority w:val="0"/>
    <w:pPr>
      <w:keepNext/>
      <w:jc w:val="center"/>
      <w:outlineLvl w:val="3"/>
    </w:pPr>
    <w:rPr>
      <w:rFonts w:eastAsia="楷体_GB2312"/>
      <w:b/>
      <w:bCs/>
      <w:sz w:val="13"/>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FFFF"/>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rFonts w:ascii="Times New Roman" w:hAnsi="Times New Roman"/>
      <w:kern w:val="2"/>
      <w:sz w:val="18"/>
      <w:szCs w:val="18"/>
    </w:rPr>
  </w:style>
  <w:style w:type="character" w:customStyle="1" w:styleId="13">
    <w:name w:val="页脚 字符"/>
    <w:basedOn w:val="10"/>
    <w:link w:val="5"/>
    <w:qFormat/>
    <w:uiPriority w:val="99"/>
    <w:rPr>
      <w:rFonts w:ascii="Times New Roman" w:hAnsi="Times New Roman"/>
      <w:kern w:val="2"/>
      <w:sz w:val="18"/>
      <w:szCs w:val="18"/>
    </w:rPr>
  </w:style>
  <w:style w:type="character" w:customStyle="1" w:styleId="14">
    <w:name w:val="fontstyle01"/>
    <w:qFormat/>
    <w:uiPriority w:val="0"/>
    <w:rPr>
      <w:rFonts w:hint="eastAsia" w:ascii="宋体" w:hAnsi="宋体" w:eastAsia="宋体"/>
      <w:color w:val="000000"/>
      <w:sz w:val="22"/>
      <w:szCs w:val="22"/>
    </w:rPr>
  </w:style>
  <w:style w:type="paragraph" w:customStyle="1" w:styleId="15">
    <w:name w:val="Default"/>
    <w:qFormat/>
    <w:uiPriority w:val="0"/>
    <w:pPr>
      <w:widowControl w:val="0"/>
      <w:autoSpaceDE w:val="0"/>
      <w:autoSpaceDN w:val="0"/>
      <w:adjustRightInd w:val="0"/>
    </w:pPr>
    <w:rPr>
      <w:rFonts w:ascii="Helvetica" w:hAnsi="Calibri" w:eastAsia="Helvetica" w:cs="Helvetica"/>
      <w:color w:val="000000"/>
      <w:sz w:val="24"/>
      <w:szCs w:val="24"/>
      <w:lang w:val="en-US" w:eastAsia="zh-CN" w:bidi="ar-SA"/>
    </w:rPr>
  </w:style>
  <w:style w:type="paragraph" w:styleId="16">
    <w:name w:val="List Paragraph"/>
    <w:basedOn w:val="1"/>
    <w:qFormat/>
    <w:uiPriority w:val="99"/>
    <w:pPr>
      <w:ind w:firstLine="420" w:firstLineChars="200"/>
    </w:p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358</Words>
  <Characters>2041</Characters>
  <Lines>17</Lines>
  <Paragraphs>4</Paragraphs>
  <TotalTime>3</TotalTime>
  <ScaleCrop>false</ScaleCrop>
  <LinksUpToDate>false</LinksUpToDate>
  <CharactersWithSpaces>2395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2021-03-30T06:02:00Z</dcterms:created>
  <dc:creator>huang</dc:creator>
  <cp:lastModifiedBy>张小宇/hello</cp:lastModifiedBy>
  <cp:lastPrinted>2021-05-07T07:56:00Z</cp:lastPrinted>
  <dcterms:modified xsi:type="dcterms:W3CDTF">2021-06-02T06:35:57Z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C890A62C3AD041D590561F832261DBAD</vt:lpwstr>
  </property>
</Properties>
</file>