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bCs/>
          <w:color w:val="000000"/>
          <w:sz w:val="36"/>
          <w:szCs w:val="36"/>
        </w:rPr>
      </w:pPr>
      <w:bookmarkStart w:id="1" w:name="_GoBack"/>
      <w:bookmarkEnd w:id="1"/>
      <w:r>
        <w:rPr>
          <w:rFonts w:ascii="仿宋_GB2312" w:eastAsia="仿宋_GB2312"/>
          <w:b/>
          <w:bCs/>
          <w:color w:val="000000"/>
          <w:sz w:val="36"/>
          <w:szCs w:val="36"/>
        </w:rPr>
        <w:t>无锡职业技术学院设备询价</w:t>
      </w:r>
      <w:r>
        <w:rPr>
          <w:rFonts w:ascii="仿宋_GB2312" w:eastAsia="仿宋_GB2312"/>
          <w:b/>
          <w:bCs/>
          <w:color w:val="000000" w:themeColor="text1"/>
          <w:sz w:val="36"/>
          <w:szCs w:val="36"/>
          <w14:textFill>
            <w14:solidFill>
              <w14:schemeClr w14:val="tx1"/>
            </w14:solidFill>
          </w14:textFill>
        </w:rPr>
        <w:t>单</w:t>
      </w:r>
      <w:r>
        <w:rPr>
          <w:rFonts w:hint="eastAsia" w:ascii="仿宋_GB2312" w:eastAsia="仿宋_GB2312"/>
          <w:b/>
          <w:bCs/>
          <w:color w:val="000000" w:themeColor="text1"/>
          <w:sz w:val="36"/>
          <w:szCs w:val="36"/>
          <w14:textFill>
            <w14:solidFill>
              <w14:schemeClr w14:val="tx1"/>
            </w14:solidFill>
          </w14:textFill>
        </w:rPr>
        <w:t>（</w:t>
      </w:r>
      <w:r>
        <w:rPr>
          <w:rFonts w:ascii="仿宋_GB2312" w:eastAsia="仿宋_GB2312"/>
          <w:b/>
          <w:bCs/>
          <w:color w:val="000000" w:themeColor="text1"/>
          <w:sz w:val="36"/>
          <w:szCs w:val="36"/>
          <w14:textFill>
            <w14:solidFill>
              <w14:schemeClr w14:val="tx1"/>
            </w14:solidFill>
          </w14:textFill>
        </w:rPr>
        <w:t>TXGXJ-202106-002</w:t>
      </w:r>
      <w:r>
        <w:rPr>
          <w:rFonts w:hint="eastAsia" w:ascii="仿宋_GB2312" w:eastAsia="仿宋_GB2312"/>
          <w:b/>
          <w:bCs/>
          <w:color w:val="000000" w:themeColor="text1"/>
          <w:sz w:val="36"/>
          <w:szCs w:val="36"/>
          <w14:textFill>
            <w14:solidFill>
              <w14:schemeClr w14:val="tx1"/>
            </w14:solidFill>
          </w14:textFill>
        </w:rPr>
        <w:t xml:space="preserve"> ）</w:t>
      </w:r>
    </w:p>
    <w:tbl>
      <w:tblPr>
        <w:tblStyle w:val="8"/>
        <w:tblW w:w="1472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45"/>
        <w:gridCol w:w="1524"/>
        <w:gridCol w:w="2161"/>
        <w:gridCol w:w="1917"/>
        <w:gridCol w:w="776"/>
        <w:gridCol w:w="2552"/>
        <w:gridCol w:w="567"/>
        <w:gridCol w:w="808"/>
        <w:gridCol w:w="888"/>
        <w:gridCol w:w="993"/>
        <w:gridCol w:w="99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7923" w:type="dxa"/>
            <w:gridSpan w:val="5"/>
            <w:tcBorders>
              <w:right w:val="dotDotDash" w:color="auto" w:sz="18" w:space="0"/>
            </w:tcBorders>
            <w:vAlign w:val="center"/>
          </w:tcPr>
          <w:p>
            <w:pPr>
              <w:rPr>
                <w:b/>
                <w:color w:val="000000"/>
                <w:sz w:val="24"/>
              </w:rPr>
            </w:pPr>
            <w:r>
              <w:rPr>
                <w:rFonts w:hint="eastAsia"/>
                <w:b/>
                <w:color w:val="000000"/>
                <w:sz w:val="24"/>
              </w:rPr>
              <w:t>采购人发出询价时间：2</w:t>
            </w:r>
            <w:r>
              <w:rPr>
                <w:b/>
                <w:color w:val="000000"/>
                <w:sz w:val="24"/>
              </w:rPr>
              <w:t>02</w:t>
            </w:r>
            <w:r>
              <w:rPr>
                <w:rFonts w:hint="eastAsia"/>
                <w:b/>
                <w:color w:val="000000"/>
                <w:sz w:val="24"/>
              </w:rPr>
              <w:t>1年6月2日</w:t>
            </w:r>
          </w:p>
        </w:tc>
        <w:tc>
          <w:tcPr>
            <w:tcW w:w="2552" w:type="dxa"/>
            <w:tcBorders>
              <w:top w:val="double" w:color="auto" w:sz="4" w:space="0"/>
              <w:left w:val="dotDotDash" w:color="auto" w:sz="18" w:space="0"/>
              <w:bottom w:val="single" w:color="auto" w:sz="6" w:space="0"/>
            </w:tcBorders>
            <w:vAlign w:val="center"/>
          </w:tcPr>
          <w:p>
            <w:pPr>
              <w:rPr>
                <w:b/>
                <w:color w:val="000000"/>
                <w:sz w:val="24"/>
              </w:rPr>
            </w:pPr>
            <w:r>
              <w:rPr>
                <w:rFonts w:hint="eastAsia"/>
                <w:b/>
                <w:color w:val="000000"/>
                <w:sz w:val="24"/>
              </w:rPr>
              <w:t>供应商报价时间</w:t>
            </w:r>
          </w:p>
        </w:tc>
        <w:tc>
          <w:tcPr>
            <w:tcW w:w="4252" w:type="dxa"/>
            <w:gridSpan w:val="5"/>
            <w:tcBorders>
              <w:top w:val="double" w:color="auto" w:sz="4" w:space="0"/>
              <w:bottom w:val="single" w:color="auto" w:sz="6" w:space="0"/>
            </w:tcBorders>
          </w:tcPr>
          <w:p>
            <w:pPr>
              <w:jc w:val="left"/>
              <w:rPr>
                <w:b/>
                <w:color w:val="000000"/>
                <w:sz w:val="24"/>
              </w:rPr>
            </w:pPr>
            <w:r>
              <w:rPr>
                <w:rFonts w:hint="eastAsia"/>
                <w:b/>
                <w:color w:val="000000"/>
                <w:sz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45" w:type="dxa"/>
            <w:vAlign w:val="center"/>
          </w:tcPr>
          <w:p>
            <w:pPr>
              <w:rPr>
                <w:b/>
                <w:color w:val="000000"/>
                <w:sz w:val="24"/>
              </w:rPr>
            </w:pPr>
            <w:r>
              <w:rPr>
                <w:rFonts w:hint="eastAsia"/>
                <w:b/>
                <w:color w:val="000000"/>
                <w:sz w:val="24"/>
              </w:rPr>
              <w:t>采购人全称</w:t>
            </w:r>
          </w:p>
        </w:tc>
        <w:tc>
          <w:tcPr>
            <w:tcW w:w="6378" w:type="dxa"/>
            <w:gridSpan w:val="4"/>
            <w:tcBorders>
              <w:right w:val="dotDotDash" w:color="auto" w:sz="18" w:space="0"/>
            </w:tcBorders>
            <w:vAlign w:val="center"/>
          </w:tcPr>
          <w:p>
            <w:pPr>
              <w:rPr>
                <w:b/>
                <w:color w:val="000000"/>
                <w:sz w:val="24"/>
              </w:rPr>
            </w:pPr>
            <w:r>
              <w:rPr>
                <w:rFonts w:hint="eastAsia"/>
                <w:b/>
                <w:color w:val="000000"/>
                <w:sz w:val="24"/>
              </w:rPr>
              <w:t>无锡职业技术学院</w:t>
            </w:r>
          </w:p>
        </w:tc>
        <w:tc>
          <w:tcPr>
            <w:tcW w:w="2552"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供应商全称(公章)</w:t>
            </w:r>
          </w:p>
        </w:tc>
        <w:tc>
          <w:tcPr>
            <w:tcW w:w="4252" w:type="dxa"/>
            <w:gridSpan w:val="5"/>
            <w:tcBorders>
              <w:top w:val="single" w:color="auto" w:sz="6" w:space="0"/>
              <w:bottom w:val="single" w:color="auto" w:sz="6" w:space="0"/>
            </w:tcBorders>
          </w:tcPr>
          <w:p>
            <w:pPr>
              <w:jc w:val="left"/>
              <w:rPr>
                <w:b/>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45" w:type="dxa"/>
            <w:vAlign w:val="center"/>
          </w:tcPr>
          <w:p>
            <w:pPr>
              <w:rPr>
                <w:b/>
                <w:color w:val="000000"/>
                <w:sz w:val="24"/>
              </w:rPr>
            </w:pPr>
            <w:r>
              <w:rPr>
                <w:rFonts w:hint="eastAsia"/>
                <w:b/>
                <w:color w:val="000000"/>
                <w:sz w:val="24"/>
              </w:rPr>
              <w:t>采购人详细地址</w:t>
            </w:r>
          </w:p>
        </w:tc>
        <w:tc>
          <w:tcPr>
            <w:tcW w:w="6378" w:type="dxa"/>
            <w:gridSpan w:val="4"/>
            <w:tcBorders>
              <w:right w:val="dotDotDash" w:color="auto" w:sz="18" w:space="0"/>
            </w:tcBorders>
            <w:vAlign w:val="center"/>
          </w:tcPr>
          <w:p>
            <w:pPr>
              <w:rPr>
                <w:b/>
                <w:color w:val="000000"/>
                <w:sz w:val="24"/>
              </w:rPr>
            </w:pPr>
            <w:r>
              <w:rPr>
                <w:rFonts w:hint="eastAsia"/>
                <w:b/>
                <w:color w:val="000000"/>
                <w:sz w:val="24"/>
              </w:rPr>
              <w:t>无锡市高浪西路1</w:t>
            </w:r>
            <w:r>
              <w:rPr>
                <w:b/>
                <w:color w:val="000000"/>
                <w:sz w:val="24"/>
              </w:rPr>
              <w:t>600</w:t>
            </w:r>
            <w:r>
              <w:rPr>
                <w:rFonts w:hint="eastAsia"/>
                <w:b/>
                <w:color w:val="000000"/>
                <w:sz w:val="24"/>
              </w:rPr>
              <w:t>号</w:t>
            </w:r>
          </w:p>
        </w:tc>
        <w:tc>
          <w:tcPr>
            <w:tcW w:w="2552"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供应商详细地址</w:t>
            </w:r>
          </w:p>
        </w:tc>
        <w:tc>
          <w:tcPr>
            <w:tcW w:w="4252" w:type="dxa"/>
            <w:gridSpan w:val="5"/>
            <w:tcBorders>
              <w:top w:val="single" w:color="auto" w:sz="6" w:space="0"/>
              <w:bottom w:val="single" w:color="auto" w:sz="6" w:space="0"/>
            </w:tcBorders>
          </w:tcPr>
          <w:p>
            <w:pPr>
              <w:jc w:val="left"/>
              <w:rPr>
                <w:b/>
                <w:color w:val="000000"/>
                <w:sz w:val="24"/>
              </w:rPr>
            </w:pPr>
            <w:r>
              <w:rPr>
                <w:rFonts w:hint="eastAsia"/>
                <w:b/>
                <w:color w:val="000000"/>
                <w:sz w:val="24"/>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545" w:type="dxa"/>
            <w:vAlign w:val="center"/>
          </w:tcPr>
          <w:p>
            <w:pPr>
              <w:spacing w:line="500" w:lineRule="auto"/>
              <w:jc w:val="center"/>
              <w:rPr>
                <w:b/>
                <w:color w:val="000000"/>
                <w:sz w:val="24"/>
              </w:rPr>
            </w:pPr>
            <w:r>
              <w:rPr>
                <w:rFonts w:hint="eastAsia"/>
                <w:b/>
                <w:color w:val="000000"/>
                <w:sz w:val="24"/>
              </w:rPr>
              <w:t>经办人</w:t>
            </w:r>
          </w:p>
        </w:tc>
        <w:tc>
          <w:tcPr>
            <w:tcW w:w="1524" w:type="dxa"/>
            <w:vAlign w:val="center"/>
          </w:tcPr>
          <w:p>
            <w:pPr>
              <w:rPr>
                <w:b/>
                <w:color w:val="000000"/>
                <w:sz w:val="24"/>
              </w:rPr>
            </w:pPr>
            <w:r>
              <w:rPr>
                <w:rFonts w:hint="eastAsia"/>
                <w:b/>
                <w:color w:val="000000"/>
                <w:sz w:val="24"/>
              </w:rPr>
              <w:t>杨勇</w:t>
            </w:r>
          </w:p>
        </w:tc>
        <w:tc>
          <w:tcPr>
            <w:tcW w:w="2161" w:type="dxa"/>
            <w:vAlign w:val="center"/>
          </w:tcPr>
          <w:p>
            <w:pPr>
              <w:rPr>
                <w:b/>
                <w:color w:val="000000"/>
                <w:sz w:val="24"/>
              </w:rPr>
            </w:pPr>
            <w:r>
              <w:rPr>
                <w:rFonts w:hint="eastAsia"/>
                <w:b/>
                <w:color w:val="000000"/>
                <w:sz w:val="24"/>
              </w:rPr>
              <w:t>联系电话</w:t>
            </w:r>
          </w:p>
        </w:tc>
        <w:tc>
          <w:tcPr>
            <w:tcW w:w="2693" w:type="dxa"/>
            <w:gridSpan w:val="2"/>
            <w:tcBorders>
              <w:right w:val="dotDotDash" w:color="auto" w:sz="18" w:space="0"/>
            </w:tcBorders>
            <w:vAlign w:val="center"/>
          </w:tcPr>
          <w:p>
            <w:pPr>
              <w:rPr>
                <w:b/>
                <w:color w:val="000000"/>
                <w:sz w:val="24"/>
              </w:rPr>
            </w:pPr>
            <w:r>
              <w:rPr>
                <w:rFonts w:hint="eastAsia"/>
                <w:b/>
                <w:color w:val="000000"/>
                <w:sz w:val="24"/>
              </w:rPr>
              <w:t>1</w:t>
            </w:r>
            <w:r>
              <w:rPr>
                <w:b/>
                <w:color w:val="000000"/>
                <w:sz w:val="24"/>
              </w:rPr>
              <w:t>3771503621</w:t>
            </w:r>
          </w:p>
        </w:tc>
        <w:tc>
          <w:tcPr>
            <w:tcW w:w="2552"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授权代表及联系电话</w:t>
            </w:r>
          </w:p>
        </w:tc>
        <w:tc>
          <w:tcPr>
            <w:tcW w:w="4252" w:type="dxa"/>
            <w:gridSpan w:val="5"/>
            <w:tcBorders>
              <w:top w:val="single" w:color="auto" w:sz="6" w:space="0"/>
              <w:bottom w:val="single" w:color="auto" w:sz="6" w:space="0"/>
            </w:tcBorders>
          </w:tcPr>
          <w:p>
            <w:pPr>
              <w:jc w:val="left"/>
              <w:rPr>
                <w:b/>
                <w:color w:val="000000"/>
                <w:sz w:val="24"/>
              </w:rPr>
            </w:pPr>
            <w:r>
              <w:rPr>
                <w:rFonts w:hint="eastAsia"/>
                <w:b/>
                <w:color w:val="000000"/>
                <w:sz w:val="24"/>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45" w:type="dxa"/>
            <w:vAlign w:val="center"/>
          </w:tcPr>
          <w:p>
            <w:pPr>
              <w:spacing w:line="500" w:lineRule="auto"/>
              <w:jc w:val="center"/>
              <w:rPr>
                <w:b/>
                <w:color w:val="000000"/>
                <w:sz w:val="24"/>
              </w:rPr>
            </w:pPr>
            <w:r>
              <w:rPr>
                <w:rFonts w:hint="eastAsia"/>
                <w:b/>
                <w:color w:val="000000"/>
                <w:sz w:val="24"/>
              </w:rPr>
              <w:t>设备名称</w:t>
            </w:r>
          </w:p>
        </w:tc>
        <w:tc>
          <w:tcPr>
            <w:tcW w:w="5602" w:type="dxa"/>
            <w:gridSpan w:val="3"/>
            <w:vAlign w:val="center"/>
          </w:tcPr>
          <w:p>
            <w:pPr>
              <w:jc w:val="center"/>
              <w:rPr>
                <w:b/>
                <w:color w:val="000000"/>
                <w:sz w:val="24"/>
              </w:rPr>
            </w:pPr>
            <w:r>
              <w:rPr>
                <w:rFonts w:hint="eastAsia"/>
                <w:b/>
                <w:color w:val="000000"/>
                <w:sz w:val="24"/>
              </w:rPr>
              <w:t>规格、型号及主要性能</w:t>
            </w:r>
          </w:p>
        </w:tc>
        <w:tc>
          <w:tcPr>
            <w:tcW w:w="776" w:type="dxa"/>
            <w:tcBorders>
              <w:right w:val="dotDotDash" w:color="auto" w:sz="18" w:space="0"/>
            </w:tcBorders>
            <w:vAlign w:val="center"/>
          </w:tcPr>
          <w:p>
            <w:pPr>
              <w:jc w:val="center"/>
              <w:rPr>
                <w:b/>
                <w:color w:val="000000"/>
                <w:sz w:val="24"/>
              </w:rPr>
            </w:pPr>
            <w:r>
              <w:rPr>
                <w:rFonts w:hint="eastAsia"/>
                <w:b/>
                <w:color w:val="000000"/>
                <w:sz w:val="24"/>
              </w:rPr>
              <w:t>数量</w:t>
            </w:r>
          </w:p>
        </w:tc>
        <w:tc>
          <w:tcPr>
            <w:tcW w:w="3119" w:type="dxa"/>
            <w:gridSpan w:val="2"/>
            <w:tcBorders>
              <w:top w:val="single" w:color="auto" w:sz="6" w:space="0"/>
              <w:left w:val="dotDotDash" w:color="auto" w:sz="18" w:space="0"/>
              <w:bottom w:val="single" w:color="auto" w:sz="6" w:space="0"/>
            </w:tcBorders>
            <w:vAlign w:val="center"/>
          </w:tcPr>
          <w:p>
            <w:pPr>
              <w:jc w:val="center"/>
              <w:rPr>
                <w:b/>
                <w:color w:val="000000"/>
                <w:sz w:val="24"/>
              </w:rPr>
            </w:pPr>
            <w:r>
              <w:rPr>
                <w:rFonts w:hint="eastAsia"/>
                <w:b/>
                <w:color w:val="000000"/>
                <w:sz w:val="24"/>
              </w:rPr>
              <w:t>响应规格、型号及主要性能</w:t>
            </w:r>
          </w:p>
        </w:tc>
        <w:tc>
          <w:tcPr>
            <w:tcW w:w="808" w:type="dxa"/>
            <w:tcBorders>
              <w:top w:val="single" w:color="auto" w:sz="6" w:space="0"/>
              <w:bottom w:val="single" w:color="auto" w:sz="6" w:space="0"/>
            </w:tcBorders>
            <w:vAlign w:val="center"/>
          </w:tcPr>
          <w:p>
            <w:pPr>
              <w:jc w:val="center"/>
              <w:rPr>
                <w:b/>
                <w:color w:val="000000"/>
                <w:sz w:val="24"/>
              </w:rPr>
            </w:pPr>
            <w:r>
              <w:rPr>
                <w:rFonts w:hint="eastAsia"/>
                <w:b/>
                <w:color w:val="000000"/>
                <w:sz w:val="24"/>
              </w:rPr>
              <w:t>单价</w:t>
            </w:r>
          </w:p>
        </w:tc>
        <w:tc>
          <w:tcPr>
            <w:tcW w:w="888" w:type="dxa"/>
            <w:tcBorders>
              <w:top w:val="single" w:color="auto" w:sz="6" w:space="0"/>
              <w:bottom w:val="single" w:color="auto" w:sz="6" w:space="0"/>
            </w:tcBorders>
            <w:vAlign w:val="center"/>
          </w:tcPr>
          <w:p>
            <w:pPr>
              <w:jc w:val="center"/>
              <w:rPr>
                <w:b/>
                <w:color w:val="000000"/>
                <w:sz w:val="24"/>
              </w:rPr>
            </w:pPr>
            <w:r>
              <w:rPr>
                <w:rFonts w:hint="eastAsia"/>
                <w:b/>
                <w:color w:val="000000"/>
                <w:sz w:val="24"/>
              </w:rPr>
              <w:t>总价</w:t>
            </w:r>
          </w:p>
        </w:tc>
        <w:tc>
          <w:tcPr>
            <w:tcW w:w="993" w:type="dxa"/>
            <w:tcBorders>
              <w:top w:val="single" w:color="auto" w:sz="6" w:space="0"/>
              <w:bottom w:val="single" w:color="auto" w:sz="6" w:space="0"/>
            </w:tcBorders>
            <w:vAlign w:val="center"/>
          </w:tcPr>
          <w:p>
            <w:pPr>
              <w:jc w:val="center"/>
              <w:rPr>
                <w:b/>
                <w:color w:val="000000"/>
                <w:sz w:val="24"/>
              </w:rPr>
            </w:pPr>
            <w:r>
              <w:rPr>
                <w:rFonts w:hint="eastAsia"/>
                <w:b/>
                <w:color w:val="000000"/>
                <w:sz w:val="24"/>
              </w:rPr>
              <w:t>质保期</w:t>
            </w:r>
          </w:p>
        </w:tc>
        <w:tc>
          <w:tcPr>
            <w:tcW w:w="996" w:type="dxa"/>
            <w:tcBorders>
              <w:top w:val="single" w:color="auto" w:sz="6" w:space="0"/>
              <w:bottom w:val="single" w:color="auto" w:sz="6" w:space="0"/>
            </w:tcBorders>
            <w:vAlign w:val="center"/>
          </w:tcPr>
          <w:p>
            <w:pPr>
              <w:jc w:val="center"/>
              <w:rPr>
                <w:b/>
                <w:color w:val="000000"/>
                <w:sz w:val="24"/>
              </w:rPr>
            </w:pPr>
            <w:r>
              <w:rPr>
                <w:rFonts w:hint="eastAsia"/>
                <w:b/>
                <w:color w:val="000000"/>
                <w:sz w:val="24"/>
              </w:rPr>
              <w:t>供货期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trPr>
        <w:tc>
          <w:tcPr>
            <w:tcW w:w="1545" w:type="dxa"/>
            <w:vAlign w:val="center"/>
          </w:tcPr>
          <w:p>
            <w:pPr>
              <w:tabs>
                <w:tab w:val="left" w:pos="780"/>
              </w:tabs>
              <w:snapToGrid w:val="0"/>
              <w:jc w:val="center"/>
              <w:rPr>
                <w:color w:val="000000" w:themeColor="text1"/>
                <w14:textFill>
                  <w14:solidFill>
                    <w14:schemeClr w14:val="tx1"/>
                  </w14:solidFill>
                </w14:textFill>
              </w:rPr>
            </w:pPr>
            <w:r>
              <w:rPr>
                <w:rFonts w:hint="eastAsia"/>
                <w:b/>
                <w:color w:val="000000"/>
                <w:sz w:val="24"/>
              </w:rPr>
              <w:t>新生入馆教育数据库                （图书馆）</w:t>
            </w:r>
          </w:p>
        </w:tc>
        <w:tc>
          <w:tcPr>
            <w:tcW w:w="5602" w:type="dxa"/>
            <w:gridSpan w:val="3"/>
            <w:vAlign w:val="center"/>
          </w:tcPr>
          <w:p>
            <w:pPr>
              <w:tabs>
                <w:tab w:val="left" w:pos="780"/>
              </w:tabs>
              <w:snapToGrid w:val="0"/>
              <w:spacing w:before="100" w:beforeAutospacing="1" w:after="100" w:afterAutospacing="1"/>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要求详见附件</w:t>
            </w:r>
          </w:p>
        </w:tc>
        <w:tc>
          <w:tcPr>
            <w:tcW w:w="776" w:type="dxa"/>
            <w:tcBorders>
              <w:right w:val="dotDotDash" w:color="auto" w:sz="18"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1套</w:t>
            </w:r>
          </w:p>
        </w:tc>
        <w:tc>
          <w:tcPr>
            <w:tcW w:w="3119" w:type="dxa"/>
            <w:gridSpan w:val="2"/>
            <w:tcBorders>
              <w:top w:val="single" w:color="auto" w:sz="6" w:space="0"/>
              <w:left w:val="dotDotDash" w:color="auto" w:sz="18" w:space="0"/>
            </w:tcBorders>
          </w:tcPr>
          <w:p>
            <w:pPr>
              <w:rPr>
                <w:color w:val="000000" w:themeColor="text1"/>
                <w14:textFill>
                  <w14:solidFill>
                    <w14:schemeClr w14:val="tx1"/>
                  </w14:solidFill>
                </w14:textFill>
              </w:rPr>
            </w:pPr>
          </w:p>
        </w:tc>
        <w:tc>
          <w:tcPr>
            <w:tcW w:w="808" w:type="dxa"/>
            <w:tcBorders>
              <w:top w:val="single" w:color="auto" w:sz="6" w:space="0"/>
            </w:tcBorders>
          </w:tcPr>
          <w:p>
            <w:pPr>
              <w:rPr>
                <w:color w:val="000000" w:themeColor="text1"/>
                <w14:textFill>
                  <w14:solidFill>
                    <w14:schemeClr w14:val="tx1"/>
                  </w14:solidFill>
                </w14:textFill>
              </w:rPr>
            </w:pPr>
          </w:p>
        </w:tc>
        <w:tc>
          <w:tcPr>
            <w:tcW w:w="888" w:type="dxa"/>
            <w:tcBorders>
              <w:top w:val="single" w:color="auto" w:sz="6" w:space="0"/>
            </w:tcBorders>
          </w:tcPr>
          <w:p>
            <w:pPr>
              <w:rPr>
                <w:color w:val="000000" w:themeColor="text1"/>
                <w14:textFill>
                  <w14:solidFill>
                    <w14:schemeClr w14:val="tx1"/>
                  </w14:solidFill>
                </w14:textFill>
              </w:rPr>
            </w:pPr>
          </w:p>
        </w:tc>
        <w:tc>
          <w:tcPr>
            <w:tcW w:w="993" w:type="dxa"/>
            <w:tcBorders>
              <w:top w:val="single" w:color="auto" w:sz="6" w:space="0"/>
            </w:tcBorders>
          </w:tcPr>
          <w:p>
            <w:pPr>
              <w:rPr>
                <w:color w:val="000000" w:themeColor="text1"/>
                <w14:textFill>
                  <w14:solidFill>
                    <w14:schemeClr w14:val="tx1"/>
                  </w14:solidFill>
                </w14:textFill>
              </w:rPr>
            </w:pPr>
          </w:p>
        </w:tc>
        <w:tc>
          <w:tcPr>
            <w:tcW w:w="996" w:type="dxa"/>
            <w:tcBorders>
              <w:top w:val="single" w:color="auto" w:sz="6" w:space="0"/>
            </w:tcBorders>
          </w:tcPr>
          <w:p>
            <w:pPr>
              <w:rPr>
                <w:color w:val="000000" w:themeColor="text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45" w:type="dxa"/>
            <w:vAlign w:val="center"/>
          </w:tcPr>
          <w:p>
            <w:pPr>
              <w:spacing w:line="500" w:lineRule="auto"/>
              <w:jc w:val="center"/>
              <w:rPr>
                <w:b/>
                <w:color w:val="000000"/>
                <w:sz w:val="24"/>
              </w:rPr>
            </w:pPr>
            <w:r>
              <w:rPr>
                <w:rFonts w:hint="eastAsia"/>
                <w:b/>
                <w:color w:val="000000"/>
                <w:sz w:val="24"/>
              </w:rPr>
              <w:t>备注</w:t>
            </w:r>
          </w:p>
        </w:tc>
        <w:tc>
          <w:tcPr>
            <w:tcW w:w="6378" w:type="dxa"/>
            <w:gridSpan w:val="4"/>
            <w:tcBorders>
              <w:right w:val="dotDotDash" w:color="auto" w:sz="18"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一</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供应商资格要求</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1、符合《政府采购法》第二十二条规定的供应商；</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、营业范围</w:t>
            </w:r>
            <w:r>
              <w:rPr>
                <w:color w:val="000000" w:themeColor="text1"/>
                <w:szCs w:val="21"/>
                <w14:textFill>
                  <w14:solidFill>
                    <w14:schemeClr w14:val="tx1"/>
                  </w14:solidFill>
                </w14:textFill>
              </w:rPr>
              <w:t>应包含本</w:t>
            </w:r>
            <w:r>
              <w:rPr>
                <w:rFonts w:hint="eastAsia"/>
                <w:color w:val="000000" w:themeColor="text1"/>
                <w:szCs w:val="21"/>
                <w14:textFill>
                  <w14:solidFill>
                    <w14:schemeClr w14:val="tx1"/>
                  </w14:solidFill>
                </w14:textFill>
              </w:rPr>
              <w:t>项目</w:t>
            </w:r>
            <w:r>
              <w:rPr>
                <w:color w:val="000000" w:themeColor="text1"/>
                <w:szCs w:val="21"/>
                <w14:textFill>
                  <w14:solidFill>
                    <w14:schemeClr w14:val="tx1"/>
                  </w14:solidFill>
                </w14:textFill>
              </w:rPr>
              <w:t>采购内容</w:t>
            </w: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二</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报价要求</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1、报价应包含</w:t>
            </w:r>
            <w:r>
              <w:rPr>
                <w:rFonts w:hint="eastAsia"/>
                <w:color w:val="FF0000"/>
                <w:szCs w:val="21"/>
              </w:rPr>
              <w:t>硬件设备、软件</w:t>
            </w:r>
            <w:r>
              <w:rPr>
                <w:rFonts w:hint="eastAsia"/>
                <w:color w:val="000000" w:themeColor="text1"/>
                <w:szCs w:val="21"/>
                <w14:textFill>
                  <w14:solidFill>
                    <w14:schemeClr w14:val="tx1"/>
                  </w14:solidFill>
                </w14:textFill>
              </w:rPr>
              <w:t>的</w:t>
            </w:r>
            <w:r>
              <w:rPr>
                <w:color w:val="000000" w:themeColor="text1"/>
                <w:szCs w:val="21"/>
                <w14:textFill>
                  <w14:solidFill>
                    <w14:schemeClr w14:val="tx1"/>
                  </w14:solidFill>
                </w14:textFill>
              </w:rPr>
              <w:t>运输、保险、安装、调试、税费等所有费用</w:t>
            </w: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、交</w:t>
            </w:r>
            <w:r>
              <w:rPr>
                <w:rFonts w:hint="eastAsia"/>
                <w:color w:val="000000" w:themeColor="text1"/>
                <w:szCs w:val="21"/>
                <w14:textFill>
                  <w14:solidFill>
                    <w14:schemeClr w14:val="tx1"/>
                  </w14:solidFill>
                </w14:textFill>
              </w:rPr>
              <w:t>货地点：无锡职业技术学院内指定地点；</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、供货期</w:t>
            </w:r>
            <w:r>
              <w:rPr>
                <w:rFonts w:hint="eastAsia"/>
                <w:color w:val="000000" w:themeColor="text1"/>
                <w:szCs w:val="21"/>
                <w14:textFill>
                  <w14:solidFill>
                    <w14:schemeClr w14:val="tx1"/>
                  </w14:solidFill>
                </w14:textFill>
              </w:rPr>
              <w:t>（完工期）：</w:t>
            </w:r>
            <w:r>
              <w:rPr>
                <w:rFonts w:hint="eastAsia" w:ascii="宋体" w:hAnsi="宋体"/>
                <w:color w:val="FF0000"/>
                <w:szCs w:val="21"/>
              </w:rPr>
              <w:t>7</w:t>
            </w:r>
            <w:r>
              <w:rPr>
                <w:rFonts w:hint="eastAsia"/>
                <w:color w:val="000000" w:themeColor="text1"/>
                <w:szCs w:val="21"/>
                <w14:textFill>
                  <w14:solidFill>
                    <w14:schemeClr w14:val="tx1"/>
                  </w14:solidFill>
                </w14:textFill>
              </w:rPr>
              <w:t>个日历天，自合同签订之日计起；</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4、质量保证：必须是原厂全新合格产品，</w:t>
            </w:r>
            <w:r>
              <w:rPr>
                <w:rFonts w:hint="eastAsia"/>
                <w:color w:val="FF0000"/>
                <w:szCs w:val="21"/>
              </w:rPr>
              <w:t>质保期应不少于3年</w:t>
            </w: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付款</w:t>
            </w:r>
            <w:r>
              <w:rPr>
                <w:rFonts w:hint="eastAsia"/>
                <w:color w:val="000000" w:themeColor="text1"/>
                <w:szCs w:val="21"/>
                <w14:textFill>
                  <w14:solidFill>
                    <w14:schemeClr w14:val="tx1"/>
                  </w14:solidFill>
                </w14:textFill>
              </w:rPr>
              <w:t>方式：需方在货物验收合格后的7个工作日内，将货款全额划入供方帐户</w:t>
            </w:r>
            <w:r>
              <w:rPr>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本项目技术联系人</w:t>
            </w:r>
            <w:r>
              <w:rPr>
                <w:rFonts w:hint="eastAsia"/>
                <w:color w:val="000000" w:themeColor="text1"/>
                <w:szCs w:val="21"/>
                <w14:textFill>
                  <w14:solidFill>
                    <w14:schemeClr w14:val="tx1"/>
                  </w14:solidFill>
                </w14:textFill>
              </w:rPr>
              <w:t>：王东亮，电话13812535805，地址：无锡市高浪西路1600号无锡职业技术学院图书馆。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7、本项目最高限价为</w:t>
            </w:r>
            <w:r>
              <w:rPr>
                <w:rFonts w:hint="eastAsia"/>
                <w:color w:val="FF0000"/>
                <w:szCs w:val="21"/>
              </w:rPr>
              <w:t>9.6</w:t>
            </w:r>
            <w:r>
              <w:rPr>
                <w:rFonts w:hint="eastAsia"/>
                <w:color w:val="000000" w:themeColor="text1"/>
                <w:szCs w:val="21"/>
                <w14:textFill>
                  <w14:solidFill>
                    <w14:schemeClr w14:val="tx1"/>
                  </w14:solidFill>
                </w14:textFill>
              </w:rPr>
              <w:t>万元，超过最高限价视报价无效；</w:t>
            </w:r>
          </w:p>
          <w:p>
            <w:r>
              <w:rPr>
                <w:rFonts w:hint="eastAsia"/>
                <w:color w:val="000000" w:themeColor="text1"/>
                <w:szCs w:val="21"/>
                <w14:textFill>
                  <w14:solidFill>
                    <w14:schemeClr w14:val="tx1"/>
                  </w14:solidFill>
                </w14:textFill>
              </w:rPr>
              <w:t>8、报价文件请授权代表签字并加盖单位公章后于</w:t>
            </w:r>
            <w:r>
              <w:rPr>
                <w:rFonts w:hint="eastAsia"/>
                <w:color w:val="FF0000"/>
                <w:szCs w:val="21"/>
              </w:rPr>
              <w:t>2021年6月7日</w:t>
            </w:r>
            <w:r>
              <w:rPr>
                <w:rFonts w:hint="eastAsia"/>
                <w:color w:val="000000" w:themeColor="text1"/>
                <w:szCs w:val="21"/>
                <w14:textFill>
                  <w14:solidFill>
                    <w14:schemeClr w14:val="tx1"/>
                  </w14:solidFill>
                </w14:textFill>
              </w:rPr>
              <w:t>9</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00前寄送至无锡职业技术学院资产管理处</w:t>
            </w:r>
            <w:r>
              <w:rPr>
                <w:rFonts w:hint="eastAsia"/>
                <w:szCs w:val="21"/>
              </w:rPr>
              <w:t>综合楼9</w:t>
            </w:r>
            <w:r>
              <w:rPr>
                <w:szCs w:val="21"/>
              </w:rPr>
              <w:t>19</w:t>
            </w:r>
            <w:r>
              <w:rPr>
                <w:rFonts w:hint="eastAsia"/>
                <w:szCs w:val="21"/>
              </w:rPr>
              <w:t>室</w:t>
            </w:r>
            <w:r>
              <w:rPr>
                <w:rFonts w:hint="eastAsia"/>
                <w:color w:val="FF0000"/>
              </w:rPr>
              <w:t>（疫情</w:t>
            </w:r>
            <w:r>
              <w:rPr>
                <w:color w:val="FF0000"/>
              </w:rPr>
              <w:t>防控期间</w:t>
            </w:r>
            <w:r>
              <w:rPr>
                <w:rFonts w:hint="eastAsia"/>
                <w:color w:val="FF0000"/>
              </w:rPr>
              <w:t>报价</w:t>
            </w:r>
            <w:r>
              <w:rPr>
                <w:color w:val="FF0000"/>
              </w:rPr>
              <w:t>文件采用</w:t>
            </w:r>
            <w:r>
              <w:rPr>
                <w:rFonts w:hint="eastAsia"/>
                <w:color w:val="FF0000"/>
              </w:rPr>
              <w:t>顺丰邮寄方式，报</w:t>
            </w:r>
            <w:r>
              <w:rPr>
                <w:color w:val="FF0000"/>
              </w:rPr>
              <w:t>价人</w:t>
            </w:r>
            <w:r>
              <w:rPr>
                <w:rFonts w:hint="eastAsia"/>
                <w:color w:val="FF0000"/>
              </w:rPr>
              <w:t>应充分</w:t>
            </w:r>
            <w:r>
              <w:rPr>
                <w:color w:val="FF0000"/>
              </w:rPr>
              <w:t>考虑邮</w:t>
            </w:r>
            <w:r>
              <w:rPr>
                <w:rFonts w:hint="eastAsia"/>
                <w:color w:val="FF0000"/>
              </w:rPr>
              <w:t>件</w:t>
            </w:r>
            <w:r>
              <w:rPr>
                <w:color w:val="FF0000"/>
              </w:rPr>
              <w:t>在途时间，保证报价文件能够在截止时间之前送达</w:t>
            </w:r>
            <w:r>
              <w:rPr>
                <w:rFonts w:hint="eastAsia"/>
                <w:color w:val="FF0000"/>
              </w:rPr>
              <w:t>学校</w:t>
            </w:r>
            <w:r>
              <w:rPr>
                <w:color w:val="FF0000"/>
              </w:rPr>
              <w:t>。</w:t>
            </w:r>
            <w:r>
              <w:rPr>
                <w:rFonts w:hint="eastAsia"/>
                <w:color w:val="FF0000"/>
              </w:rPr>
              <w:t>顺丰寄出</w:t>
            </w:r>
            <w:r>
              <w:rPr>
                <w:color w:val="FF0000"/>
              </w:rPr>
              <w:t>报价</w:t>
            </w:r>
            <w:r>
              <w:rPr>
                <w:rFonts w:hint="eastAsia"/>
                <w:color w:val="FF0000"/>
              </w:rPr>
              <w:t>文件时务必</w:t>
            </w:r>
            <w:r>
              <w:rPr>
                <w:color w:val="FF0000"/>
              </w:rPr>
              <w:t>联系</w:t>
            </w:r>
            <w:r>
              <w:rPr>
                <w:rFonts w:hint="eastAsia"/>
                <w:color w:val="FF0000"/>
              </w:rPr>
              <w:t>图书馆杨老师 1</w:t>
            </w:r>
            <w:r>
              <w:rPr>
                <w:color w:val="FF0000"/>
              </w:rPr>
              <w:t>3771503621</w:t>
            </w:r>
            <w:r>
              <w:rPr>
                <w:rFonts w:hint="eastAsia"/>
                <w:color w:val="FF0000"/>
              </w:rPr>
              <w:t xml:space="preserve"> </w:t>
            </w:r>
            <w:r>
              <w:rPr>
                <w:color w:val="FF0000"/>
              </w:rPr>
              <w:t>告知</w:t>
            </w:r>
            <w:r>
              <w:rPr>
                <w:rFonts w:hint="eastAsia"/>
                <w:color w:val="FF0000"/>
              </w:rPr>
              <w:t>邮件</w:t>
            </w:r>
            <w:r>
              <w:rPr>
                <w:color w:val="FF0000"/>
              </w:rPr>
              <w:t>单号）</w:t>
            </w:r>
            <w:r>
              <w:rPr>
                <w:rFonts w:hint="eastAsia"/>
              </w:rPr>
              <w:t>。</w:t>
            </w:r>
          </w:p>
          <w:p>
            <w:pPr>
              <w:rPr>
                <w:color w:val="C00000"/>
              </w:rPr>
            </w:pPr>
            <w:r>
              <w:t>9、</w:t>
            </w:r>
            <w:r>
              <w:rPr>
                <w:rFonts w:hint="eastAsia"/>
              </w:rPr>
              <w:t>报价文件中除报价资料外还应包含以下资料：（1）</w:t>
            </w:r>
            <w:r>
              <w:t>营业执照复印件</w:t>
            </w:r>
            <w:r>
              <w:rPr>
                <w:rFonts w:hint="eastAsia"/>
              </w:rPr>
              <w:t>（加盖公章），（2）</w:t>
            </w:r>
            <w:r>
              <w:t>法定代表人身份证复印件</w:t>
            </w:r>
            <w:r>
              <w:rPr>
                <w:rFonts w:hint="eastAsia"/>
              </w:rPr>
              <w:t>，（3）</w:t>
            </w:r>
            <w:r>
              <w:t>授权代表还需提供法人授权委托书原件</w:t>
            </w:r>
            <w:r>
              <w:rPr>
                <w:rFonts w:hint="eastAsia"/>
              </w:rPr>
              <w:t>，（4）</w:t>
            </w:r>
            <w:r>
              <w:t>授权代表身份证复印件</w:t>
            </w:r>
            <w:r>
              <w:rPr>
                <w:rFonts w:hint="eastAsia"/>
              </w:rPr>
              <w:t>。</w:t>
            </w:r>
          </w:p>
          <w:p>
            <w:r>
              <w:rPr>
                <w:rFonts w:hint="eastAsia"/>
              </w:rPr>
              <w:t>三、确定成交单位</w:t>
            </w:r>
          </w:p>
          <w:p>
            <w:pPr>
              <w:autoSpaceDE w:val="0"/>
              <w:autoSpaceDN w:val="0"/>
              <w:adjustRightInd w:val="0"/>
              <w:ind w:firstLine="210" w:firstLineChars="100"/>
            </w:pPr>
            <w:r>
              <w:rPr>
                <w:rFonts w:hint="eastAsia"/>
                <w:color w:val="FF0000"/>
              </w:rPr>
              <w:t>疫情</w:t>
            </w:r>
            <w:r>
              <w:rPr>
                <w:color w:val="FF0000"/>
              </w:rPr>
              <w:t>防控期间</w:t>
            </w:r>
            <w:r>
              <w:rPr>
                <w:rFonts w:hint="eastAsia"/>
                <w:color w:val="FF0000"/>
              </w:rPr>
              <w:t>本项目</w:t>
            </w:r>
            <w:r>
              <w:rPr>
                <w:color w:val="FF0000"/>
              </w:rPr>
              <w:t>采用非现场方式实施，成交结果</w:t>
            </w:r>
            <w:r>
              <w:rPr>
                <w:rFonts w:hint="eastAsia"/>
                <w:color w:val="FF0000"/>
              </w:rPr>
              <w:t>通过学校</w:t>
            </w:r>
            <w:r>
              <w:rPr>
                <w:color w:val="FF0000"/>
              </w:rPr>
              <w:t>主页</w:t>
            </w:r>
            <w:r>
              <w:rPr>
                <w:rFonts w:hint="eastAsia"/>
                <w:color w:val="FF0000"/>
              </w:rPr>
              <w:t>“招标</w:t>
            </w:r>
            <w:r>
              <w:rPr>
                <w:color w:val="FF0000"/>
              </w:rPr>
              <w:t>采购</w:t>
            </w:r>
            <w:r>
              <w:rPr>
                <w:rFonts w:hint="eastAsia"/>
                <w:color w:val="FF0000"/>
              </w:rPr>
              <w:t>”栏公布。</w:t>
            </w:r>
            <w:r>
              <w:rPr>
                <w:rFonts w:hint="eastAsia"/>
              </w:rPr>
              <w:t>学校组织3人及以上单数询价小组，对报价文件进行资格性及符合性检查，通过资格性及符合性检查的单位报价文件，由询价小组</w:t>
            </w:r>
            <w:r>
              <w:t>根据符合采购需求、质量和服务相等且报价最低的原则确定成交供应商</w:t>
            </w:r>
            <w:r>
              <w:rPr>
                <w:rFonts w:hint="eastAsia"/>
              </w:rPr>
              <w:t>。</w:t>
            </w:r>
          </w:p>
        </w:tc>
        <w:tc>
          <w:tcPr>
            <w:tcW w:w="6804" w:type="dxa"/>
            <w:gridSpan w:val="6"/>
            <w:tcBorders>
              <w:top w:val="single" w:color="auto" w:sz="6" w:space="0"/>
              <w:left w:val="dotDotDash" w:color="auto" w:sz="18" w:space="0"/>
              <w:bottom w:val="single" w:color="auto" w:sz="6" w:space="0"/>
            </w:tcBorders>
          </w:tcPr>
          <w:p>
            <w:pPr>
              <w:jc w:val="left"/>
              <w:rPr>
                <w:color w:val="000000"/>
                <w:sz w:val="24"/>
              </w:rPr>
            </w:pPr>
            <w:r>
              <w:rPr>
                <w:rFonts w:hint="eastAsia"/>
                <w:color w:val="000000"/>
                <w:sz w:val="24"/>
              </w:rPr>
              <w:t>供应商对资格要求及报价要求的响应情况（可另附页）</w:t>
            </w:r>
          </w:p>
          <w:p>
            <w:pPr>
              <w:rPr>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45" w:type="dxa"/>
            <w:tcBorders>
              <w:bottom w:val="double" w:color="auto" w:sz="4" w:space="0"/>
            </w:tcBorders>
            <w:vAlign w:val="center"/>
          </w:tcPr>
          <w:p>
            <w:pPr>
              <w:jc w:val="center"/>
              <w:rPr>
                <w:b/>
                <w:color w:val="000000"/>
                <w:sz w:val="24"/>
              </w:rPr>
            </w:pPr>
            <w:r>
              <w:rPr>
                <w:rFonts w:hint="eastAsia"/>
                <w:b/>
                <w:color w:val="000000"/>
                <w:sz w:val="24"/>
              </w:rPr>
              <w:t>评审时间及地点</w:t>
            </w:r>
          </w:p>
        </w:tc>
        <w:tc>
          <w:tcPr>
            <w:tcW w:w="6378" w:type="dxa"/>
            <w:gridSpan w:val="4"/>
            <w:tcBorders>
              <w:bottom w:val="double" w:color="auto" w:sz="4" w:space="0"/>
              <w:right w:val="dotDotDash" w:color="auto" w:sz="18" w:space="0"/>
            </w:tcBorders>
            <w:vAlign w:val="center"/>
          </w:tcPr>
          <w:p>
            <w:pPr>
              <w:jc w:val="left"/>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评审时间：20</w:t>
            </w:r>
            <w:r>
              <w:rPr>
                <w:color w:val="000000" w:themeColor="text1"/>
                <w:szCs w:val="21"/>
                <w:u w:val="single"/>
                <w14:textFill>
                  <w14:solidFill>
                    <w14:schemeClr w14:val="tx1"/>
                  </w14:solidFill>
                </w14:textFill>
              </w:rPr>
              <w:t>2</w:t>
            </w:r>
            <w:r>
              <w:rPr>
                <w:rFonts w:hint="eastAsia"/>
                <w:color w:val="000000" w:themeColor="text1"/>
                <w:szCs w:val="21"/>
                <w:u w:val="single"/>
                <w14:textFill>
                  <w14:solidFill>
                    <w14:schemeClr w14:val="tx1"/>
                  </w14:solidFill>
                </w14:textFill>
              </w:rPr>
              <w:t>1年6月7日9:00</w:t>
            </w:r>
          </w:p>
          <w:p>
            <w:pPr>
              <w:jc w:val="left"/>
              <w:rPr>
                <w:color w:val="000000"/>
                <w:sz w:val="24"/>
              </w:rPr>
            </w:pPr>
            <w:r>
              <w:rPr>
                <w:color w:val="000000" w:themeColor="text1"/>
                <w:szCs w:val="21"/>
                <w:u w:val="single"/>
                <w14:textFill>
                  <w14:solidFill>
                    <w14:schemeClr w14:val="tx1"/>
                  </w14:solidFill>
                </w14:textFill>
              </w:rPr>
              <w:t>评审地点</w:t>
            </w:r>
            <w:r>
              <w:rPr>
                <w:rFonts w:hint="eastAsia"/>
                <w:color w:val="000000" w:themeColor="text1"/>
                <w:szCs w:val="21"/>
                <w:u w:val="single"/>
                <w14:textFill>
                  <w14:solidFill>
                    <w14:schemeClr w14:val="tx1"/>
                  </w14:solidFill>
                </w14:textFill>
              </w:rPr>
              <w:t>：无锡市高浪西路1600号无锡职业技术学院综合楼919室</w:t>
            </w:r>
          </w:p>
        </w:tc>
        <w:tc>
          <w:tcPr>
            <w:tcW w:w="3119" w:type="dxa"/>
            <w:gridSpan w:val="2"/>
            <w:tcBorders>
              <w:top w:val="single" w:color="auto" w:sz="6" w:space="0"/>
              <w:left w:val="dotDotDash" w:color="auto" w:sz="18" w:space="0"/>
              <w:bottom w:val="double" w:color="auto" w:sz="4" w:space="0"/>
            </w:tcBorders>
          </w:tcPr>
          <w:p>
            <w:pPr>
              <w:jc w:val="left"/>
              <w:rPr>
                <w:color w:val="000000"/>
                <w:sz w:val="24"/>
              </w:rPr>
            </w:pPr>
            <w:r>
              <w:rPr>
                <w:rFonts w:hint="eastAsia"/>
                <w:color w:val="000000"/>
                <w:sz w:val="24"/>
              </w:rPr>
              <w:t>总报价</w:t>
            </w:r>
          </w:p>
        </w:tc>
        <w:tc>
          <w:tcPr>
            <w:tcW w:w="3685" w:type="dxa"/>
            <w:gridSpan w:val="4"/>
            <w:tcBorders>
              <w:top w:val="single" w:color="auto" w:sz="6" w:space="0"/>
              <w:bottom w:val="double" w:color="auto" w:sz="4" w:space="0"/>
            </w:tcBorders>
          </w:tcPr>
          <w:p>
            <w:pPr>
              <w:jc w:val="left"/>
              <w:rPr>
                <w:color w:val="000000"/>
                <w:sz w:val="24"/>
              </w:rPr>
            </w:pPr>
            <w:r>
              <w:rPr>
                <w:rFonts w:hint="eastAsia"/>
                <w:color w:val="000000"/>
                <w:sz w:val="24"/>
              </w:rPr>
              <w:t>　小写：</w:t>
            </w:r>
          </w:p>
          <w:p>
            <w:pPr>
              <w:ind w:firstLine="240" w:firstLineChars="100"/>
              <w:jc w:val="left"/>
              <w:rPr>
                <w:color w:val="000000"/>
                <w:sz w:val="24"/>
              </w:rPr>
            </w:pPr>
          </w:p>
          <w:p>
            <w:pPr>
              <w:ind w:firstLine="240" w:firstLineChars="100"/>
              <w:jc w:val="left"/>
              <w:rPr>
                <w:color w:val="000000"/>
                <w:sz w:val="24"/>
              </w:rPr>
            </w:pPr>
            <w:r>
              <w:rPr>
                <w:rFonts w:hint="eastAsia"/>
                <w:color w:val="000000"/>
                <w:sz w:val="24"/>
              </w:rPr>
              <w:t>大写：　</w:t>
            </w:r>
          </w:p>
          <w:p>
            <w:pPr>
              <w:jc w:val="left"/>
              <w:rPr>
                <w:color w:val="000000"/>
                <w:sz w:val="24"/>
              </w:rPr>
            </w:pPr>
            <w:r>
              <w:rPr>
                <w:rFonts w:hint="eastAsia"/>
                <w:color w:val="000000"/>
                <w:sz w:val="24"/>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7923" w:type="dxa"/>
            <w:gridSpan w:val="5"/>
            <w:tcBorders>
              <w:top w:val="double" w:color="auto" w:sz="4" w:space="0"/>
              <w:left w:val="nil"/>
              <w:bottom w:val="nil"/>
              <w:right w:val="dotDotDash" w:color="auto" w:sz="18" w:space="0"/>
            </w:tcBorders>
          </w:tcPr>
          <w:p>
            <w:pPr>
              <w:ind w:firstLine="3840" w:firstLineChars="1600"/>
              <w:jc w:val="left"/>
              <w:rPr>
                <w:color w:val="000000"/>
                <w:sz w:val="24"/>
              </w:rPr>
            </w:pPr>
            <w:r>
              <w:rPr>
                <w:rFonts w:hint="eastAsia"/>
                <w:color w:val="000000"/>
                <w:sz w:val="24"/>
              </w:rPr>
              <w:t>虚线左方为采购人填写</w:t>
            </w:r>
          </w:p>
        </w:tc>
        <w:tc>
          <w:tcPr>
            <w:tcW w:w="6804" w:type="dxa"/>
            <w:gridSpan w:val="6"/>
            <w:tcBorders>
              <w:top w:val="double" w:color="auto" w:sz="4" w:space="0"/>
              <w:left w:val="dotDotDash" w:color="auto" w:sz="18" w:space="0"/>
              <w:bottom w:val="nil"/>
              <w:right w:val="nil"/>
            </w:tcBorders>
          </w:tcPr>
          <w:p>
            <w:pPr>
              <w:ind w:firstLine="960" w:firstLineChars="400"/>
              <w:jc w:val="left"/>
              <w:rPr>
                <w:color w:val="000000"/>
                <w:sz w:val="24"/>
              </w:rPr>
            </w:pPr>
            <w:r>
              <w:rPr>
                <w:rFonts w:hint="eastAsia"/>
                <w:color w:val="000000"/>
                <w:sz w:val="24"/>
              </w:rPr>
              <w:t>虚线右方为供货商填写</w:t>
            </w:r>
          </w:p>
        </w:tc>
      </w:tr>
    </w:tbl>
    <w:p>
      <w:pPr>
        <w:pStyle w:val="4"/>
        <w:jc w:val="both"/>
      </w:pPr>
    </w:p>
    <w:p>
      <w:pPr>
        <w:widowControl/>
        <w:jc w:val="left"/>
      </w:pPr>
      <w:r>
        <w:br w:type="page"/>
      </w:r>
    </w:p>
    <w:p/>
    <w:p>
      <w:pPr>
        <w:spacing w:line="360" w:lineRule="auto"/>
        <w:jc w:val="center"/>
        <w:rPr>
          <w:sz w:val="36"/>
          <w:szCs w:val="36"/>
        </w:rPr>
      </w:pPr>
      <w:r>
        <w:rPr>
          <w:rFonts w:hint="eastAsia"/>
          <w:sz w:val="36"/>
          <w:szCs w:val="36"/>
        </w:rPr>
        <w:t>新生入馆教育数据库主要参数</w:t>
      </w:r>
    </w:p>
    <w:p>
      <w:pPr>
        <w:spacing w:line="360" w:lineRule="auto"/>
        <w:rPr>
          <w:rFonts w:ascii="宋体" w:hAnsi="宋体"/>
          <w:b/>
          <w:sz w:val="24"/>
        </w:rPr>
      </w:pPr>
      <w:r>
        <w:rPr>
          <w:rFonts w:hint="eastAsia"/>
          <w:b/>
          <w:sz w:val="24"/>
        </w:rPr>
        <w:t>图书馆新生入馆教育数据库具体需求内容及参数如下：</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）系统应包括图书馆简介、规章制度、入馆指南、各种设备操作说明、文献资源等详细内容介绍；</w:t>
      </w:r>
    </w:p>
    <w:p>
      <w:pPr>
        <w:spacing w:line="360" w:lineRule="auto"/>
        <w:ind w:firstLine="480" w:firstLineChars="200"/>
        <w:rPr>
          <w:rFonts w:ascii="宋体" w:hAnsi="宋体"/>
          <w:sz w:val="24"/>
        </w:rPr>
      </w:pPr>
      <w:r>
        <w:rPr>
          <w:rFonts w:hint="eastAsia" w:ascii="宋体" w:hAnsi="宋体"/>
          <w:sz w:val="24"/>
        </w:rPr>
        <w:t>（2）入馆教育系统每个页面均须有语音讲解，整个系统语音讲解总时长不少于</w:t>
      </w:r>
      <w:r>
        <w:rPr>
          <w:rFonts w:ascii="宋体" w:hAnsi="宋体"/>
          <w:sz w:val="24"/>
        </w:rPr>
        <w:t>20</w:t>
      </w:r>
      <w:r>
        <w:rPr>
          <w:rFonts w:hint="eastAsia" w:ascii="宋体" w:hAnsi="宋体"/>
          <w:sz w:val="24"/>
        </w:rPr>
        <w:t>分钟，系统不少于</w:t>
      </w:r>
      <w:r>
        <w:rPr>
          <w:rFonts w:ascii="宋体" w:hAnsi="宋体"/>
          <w:sz w:val="24"/>
        </w:rPr>
        <w:t>10</w:t>
      </w:r>
      <w:r>
        <w:rPr>
          <w:rFonts w:hint="eastAsia" w:ascii="宋体" w:hAnsi="宋体"/>
          <w:sz w:val="24"/>
        </w:rPr>
        <w:t>个视频动画，每个动画时间不少于2分钟；</w:t>
      </w:r>
    </w:p>
    <w:p>
      <w:pPr>
        <w:spacing w:line="360" w:lineRule="auto"/>
        <w:ind w:firstLine="480" w:firstLineChars="200"/>
        <w:rPr>
          <w:rFonts w:ascii="宋体" w:hAnsi="宋体"/>
          <w:sz w:val="24"/>
        </w:rPr>
      </w:pPr>
      <w:r>
        <w:rPr>
          <w:rFonts w:hint="eastAsia" w:ascii="宋体" w:hAnsi="宋体"/>
          <w:sz w:val="24"/>
        </w:rPr>
        <w:t>（3）整个学习过程进行逐级闯关，并在其中穿插着游戏元素；</w:t>
      </w:r>
    </w:p>
    <w:p>
      <w:pPr>
        <w:spacing w:line="360" w:lineRule="auto"/>
        <w:ind w:firstLine="480" w:firstLineChars="200"/>
        <w:rPr>
          <w:rFonts w:ascii="宋体" w:hAnsi="宋体"/>
          <w:color w:val="FF0000"/>
          <w:sz w:val="24"/>
        </w:rPr>
      </w:pPr>
      <w:r>
        <w:rPr>
          <w:rFonts w:hint="eastAsia" w:ascii="宋体" w:hAnsi="宋体"/>
          <w:sz w:val="24"/>
        </w:rPr>
        <w:t>（4）闯关模式提供多种人物角色供学生自行选择；</w:t>
      </w:r>
    </w:p>
    <w:p>
      <w:pPr>
        <w:spacing w:line="360" w:lineRule="auto"/>
        <w:ind w:firstLine="480" w:firstLineChars="200"/>
        <w:rPr>
          <w:rFonts w:ascii="宋体" w:hAnsi="宋体"/>
          <w:sz w:val="24"/>
        </w:rPr>
      </w:pPr>
      <w:r>
        <w:rPr>
          <w:rFonts w:hint="eastAsia" w:ascii="宋体" w:hAnsi="宋体"/>
          <w:sz w:val="24"/>
        </w:rPr>
        <w:t>（5）入馆教育系统首页背景图、系统关键图片可根据图书馆自己来设定，并易于修改和替换；</w:t>
      </w:r>
    </w:p>
    <w:p>
      <w:pPr>
        <w:spacing w:line="360" w:lineRule="auto"/>
        <w:ind w:firstLine="480" w:firstLineChars="200"/>
        <w:rPr>
          <w:rFonts w:ascii="宋体" w:hAnsi="宋体"/>
          <w:sz w:val="24"/>
        </w:rPr>
      </w:pPr>
      <w:r>
        <w:rPr>
          <w:rFonts w:hint="eastAsia" w:ascii="宋体" w:hAnsi="宋体"/>
          <w:sz w:val="24"/>
        </w:rPr>
        <w:t>（6）系统后台可以对页面内容进行灵活更改，每个页面可插入视频、图片、音频、文本；</w:t>
      </w:r>
    </w:p>
    <w:p>
      <w:pPr>
        <w:spacing w:line="360" w:lineRule="auto"/>
        <w:ind w:firstLine="480" w:firstLineChars="200"/>
        <w:rPr>
          <w:rFonts w:ascii="宋体" w:hAnsi="宋体"/>
          <w:sz w:val="24"/>
        </w:rPr>
      </w:pPr>
      <w:r>
        <w:rPr>
          <w:rFonts w:hint="eastAsia" w:ascii="宋体" w:hAnsi="宋体"/>
          <w:sz w:val="24"/>
        </w:rPr>
        <w:t>（7）系统可以按照章节内容添加单选题、多选题、判断题、填空题、抄写题等题型，并按照章节内容的范围进行灵活组卷，系统自动抽题，并能够自动统计错题率；</w:t>
      </w:r>
    </w:p>
    <w:p>
      <w:pPr>
        <w:widowControl/>
        <w:spacing w:line="360" w:lineRule="auto"/>
        <w:ind w:firstLine="480" w:firstLineChars="200"/>
        <w:rPr>
          <w:rFonts w:ascii="宋体" w:hAnsi="宋体"/>
          <w:sz w:val="24"/>
        </w:rPr>
      </w:pPr>
      <w:r>
        <w:rPr>
          <w:rFonts w:hint="eastAsia" w:ascii="宋体" w:hAnsi="宋体"/>
          <w:sz w:val="24"/>
        </w:rPr>
        <w:t>（8）闯关中进行实时计时，自动阅卷，自动打分、自动排名，后台可设置考试次数。考试方式可以分为以下4种：1.章节考试，学习一章考试一章；2.所有章节学习完再考试；3.不强制学习章节内容，可直接考试；4</w:t>
      </w:r>
      <w:r>
        <w:rPr>
          <w:rFonts w:ascii="宋体" w:hAnsi="宋体"/>
          <w:sz w:val="24"/>
        </w:rPr>
        <w:t>.</w:t>
      </w:r>
      <w:r>
        <w:rPr>
          <w:rFonts w:hint="eastAsia" w:ascii="宋体" w:hAnsi="宋体"/>
          <w:sz w:val="24"/>
        </w:rPr>
        <w:t>学生直接开卡，不经过考试和学习。</w:t>
      </w:r>
    </w:p>
    <w:p>
      <w:pPr>
        <w:spacing w:line="360" w:lineRule="auto"/>
        <w:ind w:firstLine="480" w:firstLineChars="200"/>
        <w:rPr>
          <w:rFonts w:ascii="宋体" w:hAnsi="宋体"/>
          <w:sz w:val="24"/>
        </w:rPr>
      </w:pPr>
      <w:r>
        <w:rPr>
          <w:rFonts w:hint="eastAsia" w:ascii="宋体" w:hAnsi="宋体"/>
          <w:sz w:val="24"/>
        </w:rPr>
        <w:t>（9）完善的统计功能，可以按照闯关和未闯关、是否通过的学生进行统计，分别按照院系或专业、班级对数据进行统计导出，同时能够生成饼状图、折线图或柱状图等，支持数据导出，并易于分析结果；同时也支持按照读者访问内容进行详细统计；</w:t>
      </w:r>
    </w:p>
    <w:p>
      <w:pPr>
        <w:spacing w:line="360" w:lineRule="auto"/>
        <w:ind w:firstLine="480" w:firstLineChars="200"/>
        <w:rPr>
          <w:rFonts w:ascii="宋体" w:hAnsi="宋体"/>
          <w:sz w:val="24"/>
        </w:rPr>
      </w:pPr>
      <w:r>
        <w:rPr>
          <w:rFonts w:hint="eastAsia" w:ascii="宋体" w:hAnsi="宋体"/>
          <w:sz w:val="24"/>
        </w:rPr>
        <w:t>（10）支持分享，学生可以把考试结果分享到社交平台(微信、QQ、QQ空间、微博等)扩大宣传；</w:t>
      </w:r>
    </w:p>
    <w:p>
      <w:pPr>
        <w:spacing w:line="360" w:lineRule="auto"/>
        <w:ind w:firstLine="480" w:firstLineChars="200"/>
        <w:rPr>
          <w:rFonts w:ascii="宋体" w:hAnsi="宋体"/>
          <w:sz w:val="24"/>
        </w:rPr>
      </w:pPr>
      <w:r>
        <w:rPr>
          <w:rFonts w:hint="eastAsia" w:ascii="宋体" w:hAnsi="宋体"/>
          <w:sz w:val="24"/>
        </w:rPr>
        <w:t>（11）丰富的知识竞赛功能，能够灵活出题组卷，可以设置多场竞赛活动，系统自动汇总答题成绩。</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）系统包含有个性化的小游戏，例：如何借还书、理解索书号等小游戏；</w:t>
      </w:r>
    </w:p>
    <w:p>
      <w:pPr>
        <w:widowControl/>
        <w:spacing w:line="360" w:lineRule="auto"/>
        <w:ind w:firstLine="480" w:firstLineChars="200"/>
        <w:jc w:val="left"/>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）可以与图书馆提供的第三方系统进行对接，实现学生学习闯关后系统自动开通借书权限；访问出现多次异常时具有报警功能，可通过邮箱或短信通知相关技术人员；</w:t>
      </w:r>
    </w:p>
    <w:p>
      <w:pPr>
        <w:widowControl/>
        <w:spacing w:line="360" w:lineRule="auto"/>
        <w:ind w:firstLine="480" w:firstLineChars="200"/>
        <w:jc w:val="left"/>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）接口或系统出现异常时，对于已闯关通过的后台可手动开通借阅权限（单个或批量），并且记录开通相关信息；</w:t>
      </w:r>
    </w:p>
    <w:p>
      <w:pPr>
        <w:widowControl/>
        <w:spacing w:line="360" w:lineRule="auto"/>
        <w:ind w:firstLine="480" w:firstLineChars="200"/>
        <w:jc w:val="left"/>
        <w:rPr>
          <w:rFonts w:ascii="宋体" w:hAnsi="宋体"/>
          <w:sz w:val="24"/>
        </w:rPr>
      </w:pPr>
      <w:r>
        <w:rPr>
          <w:rFonts w:hint="eastAsia" w:ascii="宋体" w:hAnsi="宋体"/>
          <w:sz w:val="24"/>
        </w:rPr>
        <w:t>（1</w:t>
      </w:r>
      <w:r>
        <w:rPr>
          <w:rFonts w:ascii="宋体" w:hAnsi="宋体"/>
          <w:sz w:val="24"/>
        </w:rPr>
        <w:t>5</w:t>
      </w:r>
      <w:r>
        <w:rPr>
          <w:rFonts w:hint="eastAsia" w:ascii="宋体" w:hAnsi="宋体"/>
          <w:sz w:val="24"/>
        </w:rPr>
        <w:t>）学生未学习的内容，系统有明显的提示，并且能够直接定位到未学的内容，并能够提供新手引导，让读者易学易用。</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6</w:t>
      </w:r>
      <w:r>
        <w:rPr>
          <w:rFonts w:hint="eastAsia" w:ascii="宋体" w:hAnsi="宋体"/>
          <w:sz w:val="24"/>
        </w:rPr>
        <w:t>）支持国内主流手机使用，如苹果、华为、三星等，可以嵌入到图书馆微信平台使用，支持多终端自适应功能。</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7</w:t>
      </w:r>
      <w:r>
        <w:rPr>
          <w:rFonts w:hint="eastAsia" w:ascii="宋体" w:hAnsi="宋体"/>
          <w:sz w:val="24"/>
        </w:rPr>
        <w:t>）同时能够提供本地镜像或远程服务。</w:t>
      </w:r>
    </w:p>
    <w:p>
      <w:pPr>
        <w:spacing w:line="360" w:lineRule="auto"/>
        <w:ind w:firstLine="480"/>
        <w:rPr>
          <w:rFonts w:ascii="宋体" w:hAnsi="宋体"/>
          <w:sz w:val="24"/>
        </w:rPr>
      </w:pPr>
      <w:r>
        <w:rPr>
          <w:rFonts w:hint="eastAsia" w:ascii="宋体" w:hAnsi="宋体"/>
          <w:sz w:val="24"/>
        </w:rPr>
        <w:t>（</w:t>
      </w:r>
      <w:r>
        <w:rPr>
          <w:rFonts w:ascii="宋体" w:hAnsi="宋体"/>
          <w:sz w:val="24"/>
        </w:rPr>
        <w:t>18</w:t>
      </w:r>
      <w:r>
        <w:rPr>
          <w:rFonts w:hint="eastAsia" w:ascii="宋体" w:hAnsi="宋体"/>
          <w:sz w:val="24"/>
        </w:rPr>
        <w:t>）该产品获得权威机构颁发的软件著作权登记证书。</w:t>
      </w:r>
    </w:p>
    <w:p>
      <w:pPr>
        <w:spacing w:line="360" w:lineRule="auto"/>
        <w:rPr>
          <w:sz w:val="24"/>
        </w:rPr>
      </w:pPr>
    </w:p>
    <w:p>
      <w:pPr>
        <w:spacing w:line="360" w:lineRule="auto"/>
        <w:jc w:val="center"/>
        <w:rPr>
          <w:rFonts w:ascii="宋体" w:hAnsi="宋体"/>
          <w:szCs w:val="21"/>
        </w:rPr>
      </w:pPr>
      <w:r>
        <w:rPr>
          <w:rFonts w:hint="eastAsia" w:ascii="宋体" w:hAnsi="宋体"/>
          <w:b/>
          <w:bCs/>
          <w:sz w:val="36"/>
          <w:szCs w:val="36"/>
        </w:rPr>
        <w:t>售后服务要求</w:t>
      </w:r>
    </w:p>
    <w:p>
      <w:pPr>
        <w:spacing w:line="360" w:lineRule="auto"/>
        <w:rPr>
          <w:rFonts w:ascii="宋体" w:hAnsi="宋体"/>
          <w:sz w:val="24"/>
        </w:rPr>
      </w:pPr>
      <w:bookmarkStart w:id="0" w:name="_Toc179794810"/>
      <w:r>
        <w:rPr>
          <w:rFonts w:hint="eastAsia" w:ascii="宋体" w:hAnsi="宋体"/>
          <w:sz w:val="24"/>
        </w:rPr>
        <w:t xml:space="preserve"> </w:t>
      </w:r>
      <w:r>
        <w:rPr>
          <w:rFonts w:hint="eastAsia" w:ascii="宋体" w:hAnsi="宋体"/>
          <w:b/>
          <w:bCs/>
          <w:sz w:val="24"/>
        </w:rPr>
        <w:t>1.初期培训服务</w:t>
      </w:r>
    </w:p>
    <w:p>
      <w:pPr>
        <w:spacing w:line="360" w:lineRule="auto"/>
        <w:ind w:firstLine="600" w:firstLineChars="250"/>
        <w:rPr>
          <w:rFonts w:ascii="宋体" w:hAnsi="宋体"/>
          <w:sz w:val="24"/>
        </w:rPr>
      </w:pPr>
      <w:r>
        <w:rPr>
          <w:rFonts w:hint="eastAsia" w:ascii="宋体" w:hAnsi="宋体"/>
          <w:sz w:val="24"/>
        </w:rPr>
        <w:t>为保证采购方熟练使用供货方的产品，自采购方购买之日起，供货方保证为采购方提供一次全面系统的使用培训，确保采购方的工作人员能够正常使用。</w:t>
      </w:r>
    </w:p>
    <w:p>
      <w:pPr>
        <w:spacing w:line="360" w:lineRule="auto"/>
        <w:ind w:firstLine="600" w:firstLineChars="250"/>
        <w:rPr>
          <w:rFonts w:ascii="宋体" w:hAnsi="宋体"/>
          <w:sz w:val="24"/>
        </w:rPr>
      </w:pPr>
      <w:r>
        <w:rPr>
          <w:rFonts w:hint="eastAsia" w:ascii="宋体" w:hAnsi="宋体"/>
          <w:sz w:val="24"/>
        </w:rPr>
        <w:t>供货方提供培训工程师，采购方提供培训场地及必要的培训设施；采购方应在培训前7日内向供货方提出培训申请；供货方在收到采购方的培训申请之后，应及时做好准备，按照采购方要求的日期和地点为采购方提供产品使用培训。</w:t>
      </w:r>
    </w:p>
    <w:p>
      <w:pPr>
        <w:spacing w:line="360" w:lineRule="auto"/>
        <w:rPr>
          <w:rFonts w:ascii="宋体" w:hAnsi="宋体"/>
          <w:b/>
          <w:bCs/>
          <w:sz w:val="24"/>
        </w:rPr>
      </w:pPr>
      <w:r>
        <w:rPr>
          <w:rFonts w:hint="eastAsia" w:ascii="宋体" w:hAnsi="宋体"/>
          <w:b/>
          <w:bCs/>
          <w:sz w:val="24"/>
        </w:rPr>
        <w:t xml:space="preserve"> 2.现场服务</w:t>
      </w:r>
    </w:p>
    <w:p>
      <w:pPr>
        <w:spacing w:line="360" w:lineRule="auto"/>
        <w:ind w:firstLine="480" w:firstLineChars="200"/>
        <w:rPr>
          <w:rFonts w:ascii="宋体" w:hAnsi="宋体"/>
          <w:sz w:val="24"/>
        </w:rPr>
      </w:pPr>
      <w:r>
        <w:rPr>
          <w:rFonts w:hint="eastAsia" w:ascii="宋体" w:hAnsi="宋体"/>
          <w:sz w:val="24"/>
        </w:rPr>
        <w:t xml:space="preserve"> 为保证采购方有效使用购买的供货方产品，自采购方购买之日起，供货方保证至少派驻一名技术人员在采购方指定的时间到采购方指定场所进行现场调试，包括采购方运行环境的搭建、文档数据的初始化指导、使用指导及使用中疑难的解答。</w:t>
      </w:r>
    </w:p>
    <w:p>
      <w:pPr>
        <w:spacing w:line="360" w:lineRule="auto"/>
        <w:rPr>
          <w:rFonts w:ascii="宋体" w:hAnsi="宋体"/>
          <w:b/>
          <w:bCs/>
          <w:sz w:val="24"/>
        </w:rPr>
      </w:pPr>
      <w:r>
        <w:rPr>
          <w:rFonts w:hint="eastAsia" w:ascii="宋体" w:hAnsi="宋体"/>
          <w:b/>
          <w:bCs/>
          <w:sz w:val="24"/>
        </w:rPr>
        <w:t>3.质保期服务</w:t>
      </w:r>
      <w:bookmarkEnd w:id="0"/>
    </w:p>
    <w:p>
      <w:pPr>
        <w:spacing w:line="360" w:lineRule="auto"/>
        <w:ind w:firstLine="470" w:firstLineChars="196"/>
        <w:rPr>
          <w:rFonts w:ascii="宋体" w:hAnsi="宋体"/>
          <w:sz w:val="24"/>
        </w:rPr>
      </w:pPr>
      <w:r>
        <w:rPr>
          <w:rFonts w:hint="eastAsia" w:ascii="宋体" w:hAnsi="宋体"/>
          <w:sz w:val="24"/>
        </w:rPr>
        <w:t xml:space="preserve"> 供货方提供产品一年质保期服务，在采购方使用中出现的软件系统故障、BUG等，供货方</w:t>
      </w:r>
      <w:r>
        <w:rPr>
          <w:rFonts w:hint="eastAsia" w:ascii="宋体" w:hAnsi="宋体"/>
          <w:bCs/>
          <w:sz w:val="24"/>
        </w:rPr>
        <w:t>负责保证为</w:t>
      </w:r>
      <w:r>
        <w:rPr>
          <w:rFonts w:hint="eastAsia" w:ascii="宋体" w:hAnsi="宋体"/>
          <w:sz w:val="24"/>
        </w:rPr>
        <w:t>采购方免费修正产品存在的瑕疵错误，修正后的错误向采购方做详细操作说明。</w:t>
      </w:r>
    </w:p>
    <w:p>
      <w:pPr>
        <w:spacing w:line="360" w:lineRule="auto"/>
        <w:ind w:firstLine="470" w:firstLineChars="196"/>
        <w:rPr>
          <w:rFonts w:ascii="宋体" w:hAnsi="宋体"/>
          <w:sz w:val="24"/>
        </w:rPr>
      </w:pPr>
      <w:r>
        <w:rPr>
          <w:rFonts w:hint="eastAsia" w:ascii="宋体" w:hAnsi="宋体"/>
          <w:sz w:val="24"/>
        </w:rPr>
        <w:t xml:space="preserve"> 如果以后每年在采购方继续续费使用本产品的情况下，软件产品在不改变系统架构或改变功能的前提下，</w:t>
      </w:r>
      <w:r>
        <w:rPr>
          <w:rFonts w:hint="eastAsia" w:ascii="宋体" w:hAnsi="宋体"/>
          <w:color w:val="000000"/>
          <w:sz w:val="24"/>
        </w:rPr>
        <w:t>供货方提供所有采购方要求的免费技术支持服务</w:t>
      </w:r>
      <w:r>
        <w:rPr>
          <w:rFonts w:hint="eastAsia" w:ascii="宋体" w:hAnsi="宋体"/>
          <w:sz w:val="24"/>
        </w:rPr>
        <w:t>。</w:t>
      </w:r>
    </w:p>
    <w:p>
      <w:pPr>
        <w:spacing w:line="360" w:lineRule="auto"/>
        <w:ind w:firstLine="470" w:firstLineChars="196"/>
        <w:rPr>
          <w:rFonts w:ascii="宋体" w:hAnsi="宋体"/>
          <w:sz w:val="24"/>
        </w:rPr>
      </w:pPr>
      <w:r>
        <w:rPr>
          <w:rFonts w:hint="eastAsia" w:ascii="宋体" w:hAnsi="宋体"/>
          <w:sz w:val="24"/>
        </w:rPr>
        <w:t>在质保期内确保2小时进行响应，通过电话咨询后，仍没有解决的故障、瑕疵等，采购方要求供货方上门进行现场维修的，供货方应在接到采购方通知后48小时内到采购方指定场所进行维修。</w:t>
      </w:r>
    </w:p>
    <w:p>
      <w:pPr>
        <w:spacing w:line="360" w:lineRule="auto"/>
        <w:rPr>
          <w:rFonts w:ascii="宋体" w:hAnsi="宋体"/>
          <w:sz w:val="24"/>
        </w:rPr>
      </w:pPr>
      <w:r>
        <w:rPr>
          <w:rFonts w:hint="eastAsia" w:ascii="宋体" w:hAnsi="宋体"/>
          <w:b/>
          <w:bCs/>
          <w:sz w:val="24"/>
        </w:rPr>
        <w:t>4.实施周期</w:t>
      </w:r>
    </w:p>
    <w:p>
      <w:pPr>
        <w:spacing w:line="360" w:lineRule="auto"/>
        <w:rPr>
          <w:rFonts w:ascii="宋体" w:hAnsi="宋体"/>
          <w:sz w:val="24"/>
        </w:rPr>
      </w:pPr>
      <w:r>
        <w:rPr>
          <w:rFonts w:hint="eastAsia" w:ascii="宋体" w:hAnsi="宋体"/>
          <w:sz w:val="24"/>
        </w:rPr>
        <w:t>合同签订后30个工作日内完成，其中包括安装、数据导入、调试、正常运行。</w:t>
      </w:r>
    </w:p>
    <w:p>
      <w:pPr>
        <w:spacing w:line="360" w:lineRule="auto"/>
        <w:jc w:val="left"/>
        <w:rPr>
          <w:rFonts w:ascii="宋体" w:hAnsi="宋体"/>
          <w:b/>
          <w:bCs/>
          <w:color w:val="FF0000"/>
          <w:sz w:val="36"/>
          <w:szCs w:val="36"/>
        </w:rPr>
      </w:pPr>
    </w:p>
    <w:p>
      <w:pPr>
        <w:spacing w:line="360" w:lineRule="auto"/>
        <w:jc w:val="left"/>
        <w:rPr>
          <w:rFonts w:ascii="宋体" w:hAnsi="宋体"/>
          <w:b/>
          <w:bCs/>
          <w:color w:val="FF0000"/>
          <w:sz w:val="28"/>
          <w:szCs w:val="28"/>
        </w:rPr>
      </w:pPr>
      <w:r>
        <w:rPr>
          <w:rFonts w:hint="eastAsia" w:ascii="宋体" w:hAnsi="宋体"/>
          <w:b/>
          <w:bCs/>
          <w:color w:val="FF0000"/>
          <w:sz w:val="28"/>
          <w:szCs w:val="28"/>
        </w:rPr>
        <w:t>附加说明</w:t>
      </w:r>
    </w:p>
    <w:p>
      <w:pPr>
        <w:spacing w:line="360" w:lineRule="auto"/>
        <w:jc w:val="left"/>
        <w:rPr>
          <w:rFonts w:ascii="宋体" w:hAnsi="宋体"/>
          <w:b/>
          <w:bCs/>
          <w:color w:val="FF0000"/>
          <w:sz w:val="28"/>
          <w:szCs w:val="28"/>
        </w:rPr>
      </w:pPr>
      <w:r>
        <w:rPr>
          <w:rFonts w:hint="eastAsia" w:ascii="宋体" w:hAnsi="宋体"/>
          <w:b/>
          <w:bCs/>
          <w:color w:val="FF0000"/>
          <w:sz w:val="28"/>
          <w:szCs w:val="28"/>
        </w:rPr>
        <w:t>1.本次采购三年，项目按年付款，请列出每年付款金额。三年后，若继续续费，续签年费不高于第三年的费用。</w:t>
      </w:r>
    </w:p>
    <w:p>
      <w:pPr>
        <w:spacing w:line="360" w:lineRule="auto"/>
        <w:jc w:val="left"/>
        <w:rPr>
          <w:color w:val="FF0000"/>
          <w:sz w:val="28"/>
          <w:szCs w:val="28"/>
        </w:rPr>
      </w:pPr>
      <w:r>
        <w:rPr>
          <w:rFonts w:hint="eastAsia" w:ascii="宋体" w:hAnsi="宋体"/>
          <w:b/>
          <w:bCs/>
          <w:color w:val="FF0000"/>
          <w:sz w:val="28"/>
          <w:szCs w:val="28"/>
        </w:rPr>
        <w:t>2.项目中涉及的接口费用，由中标方承担。</w:t>
      </w:r>
    </w:p>
    <w:p>
      <w:pPr>
        <w:jc w:val="cente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Helvetica">
    <w:panose1 w:val="020B0504020202030204"/>
    <w:charset w:val="00"/>
    <w:family w:val="swiss"/>
    <w:pitch w:val="default"/>
    <w:sig w:usb0="00000007" w:usb1="00000000" w:usb2="00000000" w:usb3="00000000" w:csb0="00000093"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0D"/>
    <w:rsid w:val="0000636A"/>
    <w:rsid w:val="00051595"/>
    <w:rsid w:val="00052A2D"/>
    <w:rsid w:val="000541D0"/>
    <w:rsid w:val="00103E72"/>
    <w:rsid w:val="00106531"/>
    <w:rsid w:val="0013120D"/>
    <w:rsid w:val="00160279"/>
    <w:rsid w:val="00160C5C"/>
    <w:rsid w:val="001C2A93"/>
    <w:rsid w:val="001C37CB"/>
    <w:rsid w:val="00236015"/>
    <w:rsid w:val="00255D23"/>
    <w:rsid w:val="0028736D"/>
    <w:rsid w:val="0029538B"/>
    <w:rsid w:val="00296989"/>
    <w:rsid w:val="002C7AE3"/>
    <w:rsid w:val="002E2B16"/>
    <w:rsid w:val="002E5AB5"/>
    <w:rsid w:val="002F278D"/>
    <w:rsid w:val="00366D9C"/>
    <w:rsid w:val="00367B86"/>
    <w:rsid w:val="003805D3"/>
    <w:rsid w:val="003C6432"/>
    <w:rsid w:val="003D5465"/>
    <w:rsid w:val="003D581B"/>
    <w:rsid w:val="003F0E1E"/>
    <w:rsid w:val="00415C06"/>
    <w:rsid w:val="0041611C"/>
    <w:rsid w:val="004221AF"/>
    <w:rsid w:val="0042254F"/>
    <w:rsid w:val="004350A2"/>
    <w:rsid w:val="004436D8"/>
    <w:rsid w:val="004521C2"/>
    <w:rsid w:val="00455619"/>
    <w:rsid w:val="004D194A"/>
    <w:rsid w:val="004E4DD9"/>
    <w:rsid w:val="005201B2"/>
    <w:rsid w:val="00566CE1"/>
    <w:rsid w:val="00570C4D"/>
    <w:rsid w:val="00580BE3"/>
    <w:rsid w:val="005971D8"/>
    <w:rsid w:val="005A53C3"/>
    <w:rsid w:val="00615BEF"/>
    <w:rsid w:val="00625FF5"/>
    <w:rsid w:val="00652A44"/>
    <w:rsid w:val="006C4830"/>
    <w:rsid w:val="006C4E6E"/>
    <w:rsid w:val="00705D19"/>
    <w:rsid w:val="00712F2B"/>
    <w:rsid w:val="0072498A"/>
    <w:rsid w:val="00730415"/>
    <w:rsid w:val="0075797D"/>
    <w:rsid w:val="00764763"/>
    <w:rsid w:val="00777BCF"/>
    <w:rsid w:val="0078101E"/>
    <w:rsid w:val="00784DD8"/>
    <w:rsid w:val="00791590"/>
    <w:rsid w:val="007A5B0B"/>
    <w:rsid w:val="007B22C7"/>
    <w:rsid w:val="007E346A"/>
    <w:rsid w:val="007F415C"/>
    <w:rsid w:val="00815D7F"/>
    <w:rsid w:val="00816ECC"/>
    <w:rsid w:val="008245D6"/>
    <w:rsid w:val="0089385F"/>
    <w:rsid w:val="008A027A"/>
    <w:rsid w:val="008A3AEC"/>
    <w:rsid w:val="008A6D18"/>
    <w:rsid w:val="009046F6"/>
    <w:rsid w:val="00937023"/>
    <w:rsid w:val="00966AA0"/>
    <w:rsid w:val="009B0B44"/>
    <w:rsid w:val="009F096D"/>
    <w:rsid w:val="00A40B4C"/>
    <w:rsid w:val="00A62995"/>
    <w:rsid w:val="00A74D60"/>
    <w:rsid w:val="00A7536C"/>
    <w:rsid w:val="00A85BB5"/>
    <w:rsid w:val="00AA1CD9"/>
    <w:rsid w:val="00AA7C52"/>
    <w:rsid w:val="00AC0637"/>
    <w:rsid w:val="00AC64D3"/>
    <w:rsid w:val="00AE0218"/>
    <w:rsid w:val="00AF5A81"/>
    <w:rsid w:val="00B37042"/>
    <w:rsid w:val="00B672E5"/>
    <w:rsid w:val="00BB2CC4"/>
    <w:rsid w:val="00BB4333"/>
    <w:rsid w:val="00BD500C"/>
    <w:rsid w:val="00C0403C"/>
    <w:rsid w:val="00C266B0"/>
    <w:rsid w:val="00C40B45"/>
    <w:rsid w:val="00C91992"/>
    <w:rsid w:val="00CA4131"/>
    <w:rsid w:val="00CB17C4"/>
    <w:rsid w:val="00D011BB"/>
    <w:rsid w:val="00D03CA2"/>
    <w:rsid w:val="00D247C6"/>
    <w:rsid w:val="00D654C5"/>
    <w:rsid w:val="00DB42E3"/>
    <w:rsid w:val="00DB676B"/>
    <w:rsid w:val="00DD0354"/>
    <w:rsid w:val="00E55A7A"/>
    <w:rsid w:val="00E75783"/>
    <w:rsid w:val="00E76C92"/>
    <w:rsid w:val="00EB0566"/>
    <w:rsid w:val="00EC7A50"/>
    <w:rsid w:val="00ED4790"/>
    <w:rsid w:val="00EE0A62"/>
    <w:rsid w:val="00EF010B"/>
    <w:rsid w:val="00F04213"/>
    <w:rsid w:val="00F30092"/>
    <w:rsid w:val="00F4413A"/>
    <w:rsid w:val="00FE58D5"/>
    <w:rsid w:val="00FE6B70"/>
    <w:rsid w:val="04721101"/>
    <w:rsid w:val="084A1A95"/>
    <w:rsid w:val="0C166AFD"/>
    <w:rsid w:val="0D1234CC"/>
    <w:rsid w:val="0DA42347"/>
    <w:rsid w:val="0EB31E73"/>
    <w:rsid w:val="0FBF65F9"/>
    <w:rsid w:val="11B14F05"/>
    <w:rsid w:val="145C4FE3"/>
    <w:rsid w:val="14953BE6"/>
    <w:rsid w:val="18505401"/>
    <w:rsid w:val="186026A8"/>
    <w:rsid w:val="199C637C"/>
    <w:rsid w:val="1C537CEF"/>
    <w:rsid w:val="1CB25D62"/>
    <w:rsid w:val="1DE15EA2"/>
    <w:rsid w:val="201104DA"/>
    <w:rsid w:val="25A04B46"/>
    <w:rsid w:val="2CCD62B5"/>
    <w:rsid w:val="2E65560C"/>
    <w:rsid w:val="2F7A788B"/>
    <w:rsid w:val="305030B9"/>
    <w:rsid w:val="327309AD"/>
    <w:rsid w:val="35EB7CDE"/>
    <w:rsid w:val="3649776E"/>
    <w:rsid w:val="3939500F"/>
    <w:rsid w:val="3B395C09"/>
    <w:rsid w:val="3CC01F5D"/>
    <w:rsid w:val="3D6B65C1"/>
    <w:rsid w:val="3DA90D46"/>
    <w:rsid w:val="3FAE7E03"/>
    <w:rsid w:val="406516B3"/>
    <w:rsid w:val="42367DA5"/>
    <w:rsid w:val="4268588E"/>
    <w:rsid w:val="42A75502"/>
    <w:rsid w:val="453E44AC"/>
    <w:rsid w:val="45830D0E"/>
    <w:rsid w:val="461C0BB4"/>
    <w:rsid w:val="4624477E"/>
    <w:rsid w:val="48B7295B"/>
    <w:rsid w:val="4CD452CF"/>
    <w:rsid w:val="4DB8283C"/>
    <w:rsid w:val="513439D2"/>
    <w:rsid w:val="518812DB"/>
    <w:rsid w:val="520C5148"/>
    <w:rsid w:val="54E737B3"/>
    <w:rsid w:val="56B72407"/>
    <w:rsid w:val="570117F7"/>
    <w:rsid w:val="57D82E00"/>
    <w:rsid w:val="581E7394"/>
    <w:rsid w:val="58F40071"/>
    <w:rsid w:val="59845403"/>
    <w:rsid w:val="59AB2008"/>
    <w:rsid w:val="5A393908"/>
    <w:rsid w:val="5B60545F"/>
    <w:rsid w:val="5D7C30DE"/>
    <w:rsid w:val="5DA42AC1"/>
    <w:rsid w:val="5EDD1ADD"/>
    <w:rsid w:val="5F135A16"/>
    <w:rsid w:val="612C626E"/>
    <w:rsid w:val="61D4500E"/>
    <w:rsid w:val="642D7194"/>
    <w:rsid w:val="65E735CB"/>
    <w:rsid w:val="68D81AAF"/>
    <w:rsid w:val="6CF92646"/>
    <w:rsid w:val="719A562B"/>
    <w:rsid w:val="744A1C88"/>
    <w:rsid w:val="74E62D34"/>
    <w:rsid w:val="77434EF4"/>
    <w:rsid w:val="77FF0BC6"/>
    <w:rsid w:val="79446BF7"/>
    <w:rsid w:val="7BB6398D"/>
    <w:rsid w:val="7DE012F1"/>
    <w:rsid w:val="7ECF5E46"/>
    <w:rsid w:val="7FB9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4"/>
    <w:basedOn w:val="1"/>
    <w:next w:val="1"/>
    <w:qFormat/>
    <w:uiPriority w:val="0"/>
    <w:pPr>
      <w:keepNext/>
      <w:jc w:val="center"/>
      <w:outlineLvl w:val="3"/>
    </w:pPr>
    <w:rPr>
      <w:rFonts w:eastAsia="楷体_GB2312"/>
      <w:b/>
      <w:bCs/>
      <w:sz w:val="13"/>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olor w:val="00FFFF"/>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字符"/>
    <w:basedOn w:val="10"/>
    <w:link w:val="6"/>
    <w:qFormat/>
    <w:uiPriority w:val="99"/>
    <w:rPr>
      <w:rFonts w:ascii="Times New Roman" w:hAnsi="Times New Roman"/>
      <w:kern w:val="2"/>
      <w:sz w:val="18"/>
      <w:szCs w:val="18"/>
    </w:rPr>
  </w:style>
  <w:style w:type="character" w:customStyle="1" w:styleId="13">
    <w:name w:val="页脚 字符"/>
    <w:basedOn w:val="10"/>
    <w:link w:val="5"/>
    <w:qFormat/>
    <w:uiPriority w:val="99"/>
    <w:rPr>
      <w:rFonts w:ascii="Times New Roman" w:hAnsi="Times New Roman"/>
      <w:kern w:val="2"/>
      <w:sz w:val="18"/>
      <w:szCs w:val="18"/>
    </w:rPr>
  </w:style>
  <w:style w:type="character" w:customStyle="1" w:styleId="14">
    <w:name w:val="fontstyle01"/>
    <w:qFormat/>
    <w:uiPriority w:val="0"/>
    <w:rPr>
      <w:rFonts w:hint="eastAsia" w:ascii="宋体" w:hAnsi="宋体" w:eastAsia="宋体"/>
      <w:color w:val="000000"/>
      <w:sz w:val="22"/>
      <w:szCs w:val="22"/>
    </w:rPr>
  </w:style>
  <w:style w:type="paragraph" w:customStyle="1" w:styleId="15">
    <w:name w:val="Default"/>
    <w:qFormat/>
    <w:uiPriority w:val="0"/>
    <w:pPr>
      <w:widowControl w:val="0"/>
      <w:autoSpaceDE w:val="0"/>
      <w:autoSpaceDN w:val="0"/>
      <w:adjustRightInd w:val="0"/>
    </w:pPr>
    <w:rPr>
      <w:rFonts w:ascii="Helvetica" w:hAnsi="Calibri" w:eastAsia="Helvetica" w:cs="Helvetica"/>
      <w:color w:val="000000"/>
      <w:sz w:val="24"/>
      <w:szCs w:val="24"/>
      <w:lang w:val="en-US" w:eastAsia="zh-CN" w:bidi="ar-SA"/>
    </w:rPr>
  </w:style>
  <w:style w:type="paragraph" w:styleId="16">
    <w:name w:val="List Paragraph"/>
    <w:basedOn w:val="1"/>
    <w:qFormat/>
    <w:uiPriority w:val="99"/>
    <w:pPr>
      <w:ind w:firstLine="420" w:firstLineChars="200"/>
    </w:p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410</Words>
  <Characters>2342</Characters>
  <Lines>19</Lines>
  <Paragraphs>5</Paragraphs>
  <TotalTime>1</TotalTime>
  <ScaleCrop>false</ScaleCrop>
  <LinksUpToDate>false</LinksUpToDate>
  <CharactersWithSpaces>2747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2021-06-02T06:23:00Z</dcterms:created>
  <dc:creator>huang</dc:creator>
  <cp:lastModifiedBy>张小宇/hello</cp:lastModifiedBy>
  <cp:lastPrinted>2021-05-07T07:56:00Z</cp:lastPrinted>
  <dcterms:modified xsi:type="dcterms:W3CDTF">2021-06-02T06:36:02Z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C00CF7C8880A4E668D1373A20A126AA9</vt:lpwstr>
  </property>
</Properties>
</file>